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581C5">
      <w:pPr>
        <w:autoSpaceDE w:val="0"/>
        <w:autoSpaceDN w:val="0"/>
        <w:adjustRightInd w:val="0"/>
        <w:snapToGrid w:val="0"/>
        <w:jc w:val="center"/>
        <w:rPr>
          <w:bCs/>
          <w:sz w:val="36"/>
          <w:szCs w:val="36"/>
        </w:rPr>
      </w:pPr>
      <w:r>
        <w:rPr>
          <w:bCs/>
          <w:sz w:val="36"/>
          <w:szCs w:val="36"/>
        </w:rPr>
        <w:t>萃取法从含锌废水中回收</w:t>
      </w:r>
      <w:r>
        <w:rPr>
          <w:rFonts w:hint="eastAsia"/>
          <w:bCs/>
          <w:sz w:val="36"/>
          <w:szCs w:val="36"/>
        </w:rPr>
        <w:t>银</w:t>
      </w:r>
    </w:p>
    <w:p w14:paraId="7C712774">
      <w:pPr>
        <w:adjustRightInd w:val="0"/>
        <w:snapToGrid w:val="0"/>
        <w:spacing w:before="120"/>
        <w:jc w:val="center"/>
        <w:rPr>
          <w:rFonts w:eastAsia="楷体_GB2312"/>
          <w:sz w:val="24"/>
        </w:rPr>
      </w:pPr>
      <w:r>
        <w:rPr>
          <w:rFonts w:eastAsia="楷体_GB2312"/>
          <w:sz w:val="24"/>
        </w:rPr>
        <w:t>杨永涛</w:t>
      </w:r>
      <w:r>
        <w:rPr>
          <w:rFonts w:eastAsia="楷体_GB2312"/>
          <w:sz w:val="24"/>
          <w:vertAlign w:val="superscript"/>
        </w:rPr>
        <w:t>1</w:t>
      </w:r>
      <w:r>
        <w:rPr>
          <w:rFonts w:eastAsia="楷体_GB2312"/>
          <w:sz w:val="24"/>
        </w:rPr>
        <w:t>，唐  骞</w:t>
      </w:r>
      <w:r>
        <w:rPr>
          <w:rFonts w:eastAsia="楷体_GB2312"/>
          <w:sz w:val="24"/>
          <w:vertAlign w:val="superscript"/>
        </w:rPr>
        <w:t>1,2</w:t>
      </w:r>
      <w:r>
        <w:rPr>
          <w:rFonts w:eastAsia="楷体_GB2312"/>
          <w:sz w:val="24"/>
        </w:rPr>
        <w:t>，李  娟</w:t>
      </w:r>
      <w:r>
        <w:rPr>
          <w:rFonts w:eastAsia="楷体_GB2312"/>
          <w:sz w:val="24"/>
          <w:vertAlign w:val="superscript"/>
        </w:rPr>
        <w:t>1</w:t>
      </w:r>
      <w:r>
        <w:rPr>
          <w:rFonts w:eastAsia="楷体_GB2312"/>
          <w:sz w:val="24"/>
        </w:rPr>
        <w:t>，姜  斌</w:t>
      </w:r>
      <w:r>
        <w:rPr>
          <w:rFonts w:eastAsia="楷体_GB2312"/>
          <w:sz w:val="24"/>
          <w:vertAlign w:val="superscript"/>
        </w:rPr>
        <w:t>1</w:t>
      </w:r>
    </w:p>
    <w:p w14:paraId="4D67416D">
      <w:pPr>
        <w:spacing w:after="120"/>
        <w:jc w:val="center"/>
        <w:rPr>
          <w:sz w:val="18"/>
          <w:szCs w:val="18"/>
        </w:rPr>
      </w:pPr>
      <w:r>
        <w:rPr>
          <w:sz w:val="18"/>
          <w:szCs w:val="18"/>
        </w:rPr>
        <w:t>(1.北京科技大学资源加工与生物工程学院，北京 100083；2.鞍山钢铁集团开源科技有限责任公司，辽宁 鞍山  430070)</w:t>
      </w:r>
    </w:p>
    <w:p w14:paraId="3C3CFDCB">
      <w:pPr>
        <w:keepNext w:val="0"/>
        <w:keepLines w:val="0"/>
        <w:pageBreakBefore w:val="0"/>
        <w:widowControl w:val="0"/>
        <w:kinsoku/>
        <w:wordWrap/>
        <w:overflowPunct/>
        <w:topLinePunct w:val="0"/>
        <w:autoSpaceDE w:val="0"/>
        <w:autoSpaceDN w:val="0"/>
        <w:bidi w:val="0"/>
        <w:adjustRightInd w:val="0"/>
        <w:snapToGrid w:val="0"/>
        <w:spacing w:line="360" w:lineRule="exact"/>
        <w:ind w:firstLine="0" w:firstLineChars="0"/>
        <w:textAlignment w:val="auto"/>
        <w:rPr>
          <w:sz w:val="18"/>
          <w:szCs w:val="18"/>
        </w:rPr>
      </w:pPr>
      <w:r>
        <w:rPr>
          <w:rFonts w:eastAsia="黑体"/>
          <w:snapToGrid w:val="0"/>
          <w:kern w:val="0"/>
          <w:sz w:val="18"/>
          <w:szCs w:val="18"/>
        </w:rPr>
        <w:t>摘要：</w:t>
      </w:r>
      <w:r>
        <w:rPr>
          <w:sz w:val="18"/>
          <w:szCs w:val="18"/>
        </w:rPr>
        <w:t>以高浓度含锌废水为研究对象，研究采用溶剂萃取法回收锌的工艺技术。结果表明，用P204为萃取剂，在加入一定量中和剂的条件下，通过调整相比</w:t>
      </w:r>
      <w:r>
        <w:rPr>
          <w:rFonts w:hint="eastAsia"/>
          <w:sz w:val="18"/>
          <w:szCs w:val="18"/>
          <w:lang w:eastAsia="zh-CN"/>
        </w:rPr>
        <w:t>（</w:t>
      </w:r>
      <w:r>
        <w:rPr>
          <w:sz w:val="18"/>
          <w:szCs w:val="18"/>
        </w:rPr>
        <w:t>O/A比</w:t>
      </w:r>
      <w:r>
        <w:rPr>
          <w:rFonts w:hint="eastAsia"/>
          <w:sz w:val="18"/>
          <w:szCs w:val="18"/>
          <w:lang w:eastAsia="zh-CN"/>
        </w:rPr>
        <w:t>）</w:t>
      </w:r>
      <w:r>
        <w:rPr>
          <w:sz w:val="18"/>
          <w:szCs w:val="18"/>
        </w:rPr>
        <w:t>以及萃取剂浓度可实现锌的有效萃取，萃取率可达到99%以上，且杂质离子主要保留在萃余液中，萃取过程损失率很小。采用7.6%的硫酸溶液对负载有机相进行多级错流反萃可得到锌浓度高达150 g/L以上的硫酸锌反萃液，实现了锌的浓缩，且反萃液中各杂质离子浓度都较低，锌浓度及杂质含量均可满足电积锌液的要求。该法既有效地回收了锌，又有效地分离了杂质，得到了高浓度、低杂质的优质电积锌液。</w:t>
      </w:r>
    </w:p>
    <w:p w14:paraId="16454A4F">
      <w:pPr>
        <w:autoSpaceDE w:val="0"/>
        <w:autoSpaceDN w:val="0"/>
        <w:adjustRightInd w:val="0"/>
        <w:snapToGrid w:val="0"/>
        <w:spacing w:line="360" w:lineRule="auto"/>
        <w:ind w:firstLine="0" w:firstLineChars="0"/>
        <w:rPr>
          <w:sz w:val="18"/>
          <w:szCs w:val="18"/>
        </w:rPr>
      </w:pPr>
      <w:r>
        <w:rPr>
          <w:rFonts w:eastAsia="黑体"/>
          <w:snapToGrid w:val="0"/>
          <w:kern w:val="0"/>
          <w:sz w:val="18"/>
          <w:szCs w:val="18"/>
        </w:rPr>
        <w:t>关键词：</w:t>
      </w:r>
      <w:r>
        <w:rPr>
          <w:sz w:val="18"/>
          <w:szCs w:val="18"/>
        </w:rPr>
        <w:t>冶金技术；锌；溶剂萃取；P204；中和剂；反萃</w:t>
      </w:r>
    </w:p>
    <w:p w14:paraId="19F88E26">
      <w:pPr>
        <w:autoSpaceDE w:val="0"/>
        <w:autoSpaceDN w:val="0"/>
        <w:adjustRightInd w:val="0"/>
        <w:snapToGrid w:val="0"/>
        <w:spacing w:line="360" w:lineRule="auto"/>
        <w:ind w:firstLine="0" w:firstLineChars="0"/>
        <w:rPr>
          <w:rFonts w:hint="default"/>
          <w:sz w:val="18"/>
          <w:szCs w:val="18"/>
          <w:lang w:val="en-US"/>
        </w:rPr>
      </w:pPr>
      <w:r>
        <w:rPr>
          <w:rFonts w:hint="eastAsia" w:eastAsia="黑体"/>
          <w:snapToGrid w:val="0"/>
          <w:kern w:val="0"/>
          <w:sz w:val="18"/>
          <w:szCs w:val="18"/>
          <w:lang w:val="en-US" w:eastAsia="zh-CN"/>
        </w:rPr>
        <w:t xml:space="preserve">doi: </w:t>
      </w:r>
    </w:p>
    <w:p w14:paraId="229EA92B">
      <w:pPr>
        <w:autoSpaceDE w:val="0"/>
        <w:autoSpaceDN w:val="0"/>
        <w:adjustRightInd w:val="0"/>
        <w:snapToGrid w:val="0"/>
        <w:spacing w:line="360" w:lineRule="auto"/>
        <w:ind w:firstLine="0" w:firstLineChars="0"/>
        <w:rPr>
          <w:rFonts w:hint="eastAsia" w:eastAsia="黑体"/>
          <w:snapToGrid w:val="0"/>
          <w:kern w:val="0"/>
          <w:sz w:val="18"/>
          <w:szCs w:val="18"/>
        </w:rPr>
      </w:pPr>
      <w:r>
        <w:rPr>
          <w:rFonts w:eastAsia="黑体"/>
          <w:snapToGrid w:val="0"/>
          <w:kern w:val="0"/>
          <w:sz w:val="18"/>
          <w:szCs w:val="18"/>
        </w:rPr>
        <w:t>中图分类号：</w:t>
      </w:r>
      <w:r>
        <w:rPr>
          <w:sz w:val="18"/>
          <w:szCs w:val="18"/>
        </w:rPr>
        <w:t>TF813</w:t>
      </w:r>
      <w:r>
        <w:rPr>
          <w:rFonts w:eastAsia="黑体"/>
          <w:snapToGrid w:val="0"/>
          <w:kern w:val="0"/>
          <w:sz w:val="18"/>
          <w:szCs w:val="18"/>
        </w:rPr>
        <w:t xml:space="preserve">; </w:t>
      </w:r>
      <w:r>
        <w:rPr>
          <w:sz w:val="18"/>
          <w:szCs w:val="18"/>
        </w:rPr>
        <w:t>TF804.2</w:t>
      </w:r>
      <w:r>
        <w:rPr>
          <w:rFonts w:eastAsia="黑体"/>
          <w:snapToGrid w:val="0"/>
          <w:kern w:val="0"/>
          <w:sz w:val="18"/>
          <w:szCs w:val="18"/>
        </w:rPr>
        <w:t xml:space="preserve"> </w:t>
      </w:r>
      <w:r>
        <w:rPr>
          <w:rFonts w:hint="eastAsia" w:eastAsia="黑体"/>
          <w:snapToGrid w:val="0"/>
          <w:kern w:val="0"/>
          <w:sz w:val="18"/>
          <w:szCs w:val="18"/>
        </w:rPr>
        <w:t xml:space="preserve">  </w:t>
      </w:r>
      <w:r>
        <w:rPr>
          <w:rFonts w:eastAsia="黑体"/>
          <w:snapToGrid w:val="0"/>
          <w:kern w:val="0"/>
          <w:sz w:val="18"/>
          <w:szCs w:val="18"/>
        </w:rPr>
        <w:t xml:space="preserve"> </w:t>
      </w:r>
      <w:r>
        <w:rPr>
          <w:rFonts w:hint="eastAsia" w:eastAsia="黑体"/>
          <w:snapToGrid w:val="0"/>
          <w:kern w:val="0"/>
          <w:sz w:val="18"/>
          <w:szCs w:val="18"/>
        </w:rPr>
        <w:t xml:space="preserve"> </w:t>
      </w:r>
      <w:r>
        <w:rPr>
          <w:rFonts w:eastAsia="黑体"/>
          <w:snapToGrid w:val="0"/>
          <w:kern w:val="0"/>
          <w:sz w:val="18"/>
          <w:szCs w:val="18"/>
        </w:rPr>
        <w:t>文献标识码：A</w:t>
      </w:r>
      <w:r>
        <w:rPr>
          <w:rFonts w:hint="eastAsia" w:eastAsia="黑体"/>
          <w:snapToGrid w:val="0"/>
          <w:kern w:val="0"/>
          <w:sz w:val="18"/>
          <w:szCs w:val="18"/>
        </w:rPr>
        <w:t xml:space="preserve">    </w:t>
      </w:r>
      <w:r>
        <w:rPr>
          <w:rFonts w:eastAsia="黑体"/>
          <w:snapToGrid w:val="0"/>
          <w:kern w:val="0"/>
          <w:sz w:val="18"/>
          <w:szCs w:val="18"/>
        </w:rPr>
        <w:t>文章编号：1001-0211(2010)02-0001-04</w:t>
      </w:r>
    </w:p>
    <w:p w14:paraId="193AA2FA">
      <w:pPr>
        <w:adjustRightInd w:val="0"/>
        <w:snapToGrid w:val="0"/>
        <w:spacing w:before="120"/>
        <w:rPr>
          <w:rFonts w:eastAsia="黑体"/>
          <w:sz w:val="24"/>
        </w:rPr>
        <w:sectPr>
          <w:footerReference r:id="rId4" w:type="first"/>
          <w:footerReference r:id="rId3" w:type="default"/>
          <w:pgSz w:w="11906" w:h="16838"/>
          <w:pgMar w:top="1270" w:right="1080" w:bottom="1440" w:left="1080" w:header="850" w:footer="454" w:gutter="0"/>
          <w:pgBorders>
            <w:top w:val="none" w:sz="0" w:space="0"/>
            <w:left w:val="none" w:sz="0" w:space="0"/>
            <w:bottom w:val="none" w:sz="0" w:space="0"/>
            <w:right w:val="none" w:sz="0" w:space="0"/>
          </w:pgBorders>
          <w:cols w:space="425" w:num="1"/>
          <w:titlePg/>
          <w:docGrid w:type="lines" w:linePitch="312" w:charSpace="0"/>
        </w:sectPr>
      </w:pPr>
    </w:p>
    <w:p w14:paraId="0EB14787">
      <w:pPr>
        <w:adjustRightInd w:val="0"/>
        <w:snapToGrid w:val="0"/>
        <w:ind w:firstLine="420" w:firstLineChars="200"/>
        <w:textAlignment w:val="baseline"/>
        <w:rPr>
          <w:szCs w:val="21"/>
        </w:rPr>
      </w:pPr>
      <w:r>
        <w:rPr>
          <w:szCs w:val="21"/>
        </w:rPr>
        <w:t>某含锌废水中锌含量达30~40 g/L，很有回收价值。目前的回收方法是先用化学沉淀法除杂，再蒸发浓缩制备七水硫酸锌产品。该法虽然对Fe</w:t>
      </w:r>
      <w:r>
        <w:rPr>
          <w:szCs w:val="21"/>
          <w:vertAlign w:val="superscript"/>
        </w:rPr>
        <w:t>2+</w:t>
      </w:r>
      <w:r>
        <w:rPr>
          <w:szCs w:val="21"/>
        </w:rPr>
        <w:t>和Mn</w:t>
      </w:r>
      <w:r>
        <w:rPr>
          <w:szCs w:val="21"/>
          <w:vertAlign w:val="superscript"/>
        </w:rPr>
        <w:t>2+</w:t>
      </w:r>
      <w:r>
        <w:rPr>
          <w:szCs w:val="21"/>
        </w:rPr>
        <w:t>等阳离子杂质脱除效果较好，但也有一部分锌进入沉淀渣，导致锌的损失率达到10%甚至更高，从而影响锌的回收率</w:t>
      </w:r>
      <w:r>
        <w:rPr>
          <w:szCs w:val="21"/>
          <w:vertAlign w:val="superscript"/>
        </w:rPr>
        <w:t>[1]</w:t>
      </w:r>
      <w:r>
        <w:rPr>
          <w:szCs w:val="21"/>
        </w:rPr>
        <w:t>。同时，由于不能有效去除Cl</w:t>
      </w:r>
      <w:r>
        <w:rPr>
          <w:szCs w:val="21"/>
          <w:vertAlign w:val="superscript"/>
        </w:rPr>
        <w:t>-</w:t>
      </w:r>
      <w:r>
        <w:rPr>
          <w:szCs w:val="21"/>
        </w:rPr>
        <w:t>杂质，不能用于制备高附加值的电解锌</w:t>
      </w:r>
      <w:r>
        <w:rPr>
          <w:szCs w:val="21"/>
          <w:vertAlign w:val="superscript"/>
        </w:rPr>
        <w:t>[2]</w:t>
      </w:r>
      <w:r>
        <w:rPr>
          <w:szCs w:val="21"/>
        </w:rPr>
        <w:t>。</w:t>
      </w:r>
    </w:p>
    <w:p w14:paraId="0FD4E5C1">
      <w:pPr>
        <w:adjustRightInd w:val="0"/>
        <w:snapToGrid w:val="0"/>
        <w:ind w:firstLine="420" w:firstLineChars="200"/>
        <w:textAlignment w:val="baseline"/>
        <w:rPr>
          <w:szCs w:val="21"/>
        </w:rPr>
      </w:pPr>
      <w:r>
        <w:rPr>
          <w:szCs w:val="21"/>
        </w:rPr>
        <w:t>溶剂萃取能从溶液中选择性提取金属离子，具有较好的杂质分离效果。它不仅可以直接回收目的金属，实现无渣工艺，减少环境污染，而且杂质分离效果好</w:t>
      </w:r>
      <w:r>
        <w:rPr>
          <w:szCs w:val="21"/>
          <w:vertAlign w:val="superscript"/>
        </w:rPr>
        <w:t>[3]</w:t>
      </w:r>
      <w:r>
        <w:rPr>
          <w:szCs w:val="21"/>
        </w:rPr>
        <w:t>，尤其能较好地分离Cl</w:t>
      </w:r>
      <w:r>
        <w:rPr>
          <w:szCs w:val="21"/>
          <w:vertAlign w:val="superscript"/>
        </w:rPr>
        <w:t>-</w:t>
      </w:r>
      <w:r>
        <w:rPr>
          <w:szCs w:val="21"/>
        </w:rPr>
        <w:t>。</w:t>
      </w:r>
    </w:p>
    <w:p w14:paraId="3E0A8960">
      <w:pPr>
        <w:adjustRightInd w:val="0"/>
        <w:snapToGrid w:val="0"/>
        <w:ind w:firstLine="420" w:firstLineChars="200"/>
        <w:rPr>
          <w:szCs w:val="21"/>
        </w:rPr>
      </w:pPr>
      <w:r>
        <w:rPr>
          <w:szCs w:val="21"/>
        </w:rPr>
        <w:t>文献中</w:t>
      </w:r>
      <w:r>
        <w:rPr>
          <w:rFonts w:hint="eastAsia"/>
          <w:szCs w:val="21"/>
        </w:rPr>
        <w:t>报道的</w:t>
      </w:r>
      <w:r>
        <w:rPr>
          <w:szCs w:val="21"/>
        </w:rPr>
        <w:t>可从硫酸锌溶液中萃取锌的萃取剂有很多</w:t>
      </w:r>
      <w:r>
        <w:rPr>
          <w:szCs w:val="21"/>
          <w:vertAlign w:val="superscript"/>
        </w:rPr>
        <w:t>[4-5]</w:t>
      </w:r>
      <w:r>
        <w:rPr>
          <w:szCs w:val="21"/>
        </w:rPr>
        <w:t>，其中最常用的是P204</w:t>
      </w:r>
      <w:r>
        <w:rPr>
          <w:szCs w:val="21"/>
          <w:vertAlign w:val="superscript"/>
        </w:rPr>
        <w:t>[6-8]</w:t>
      </w:r>
      <w:r>
        <w:rPr>
          <w:szCs w:val="21"/>
        </w:rPr>
        <w:t>。用萃取法处理的工业含锌废水或湿法炼锌浸出液中锌的浓度普遍较低，浓度多在每升几克到十几克的范围内</w:t>
      </w:r>
      <w:r>
        <w:rPr>
          <w:szCs w:val="21"/>
          <w:vertAlign w:val="superscript"/>
        </w:rPr>
        <w:t xml:space="preserve"> [9-12]</w:t>
      </w:r>
      <w:r>
        <w:rPr>
          <w:szCs w:val="21"/>
        </w:rPr>
        <w:t>，用P204萃取时，有机相只需稍作皂化即可达到较好的萃取效果</w:t>
      </w:r>
      <w:r>
        <w:rPr>
          <w:szCs w:val="21"/>
          <w:vertAlign w:val="superscript"/>
        </w:rPr>
        <w:t>[13]</w:t>
      </w:r>
      <w:r>
        <w:rPr>
          <w:szCs w:val="21"/>
        </w:rPr>
        <w:t>。</w:t>
      </w:r>
    </w:p>
    <w:p w14:paraId="2631593F">
      <w:pPr>
        <w:adjustRightInd w:val="0"/>
        <w:snapToGrid w:val="0"/>
        <w:ind w:firstLine="420" w:firstLineChars="200"/>
        <w:rPr>
          <w:szCs w:val="21"/>
        </w:rPr>
      </w:pPr>
      <w:r>
        <w:rPr>
          <w:szCs w:val="21"/>
        </w:rPr>
        <w:t>研究用萃取法处理含锌量为30</w:t>
      </w:r>
      <w:r>
        <w:rPr>
          <w:rFonts w:hint="eastAsia"/>
          <w:szCs w:val="21"/>
          <w:lang w:val="en-US" w:eastAsia="zh-CN"/>
        </w:rPr>
        <w:t>~</w:t>
      </w:r>
      <w:r>
        <w:rPr>
          <w:szCs w:val="21"/>
        </w:rPr>
        <w:t>40 g/L，且杂质多、含量高的废水，实现锌和杂质离子的有效分离，并制备出满足电积锌要求的锌浓度高、杂质含量低的锌电解液。</w:t>
      </w:r>
    </w:p>
    <w:p w14:paraId="2922C968">
      <w:pPr>
        <w:adjustRightInd w:val="0"/>
        <w:snapToGrid w:val="0"/>
        <w:spacing w:before="120"/>
        <w:rPr>
          <w:rFonts w:hint="eastAsia" w:eastAsia="黑体"/>
          <w:sz w:val="24"/>
        </w:rPr>
      </w:pPr>
      <w:r>
        <w:rPr>
          <w:rFonts w:hint="eastAsia" w:eastAsia="黑体"/>
          <w:sz w:val="24"/>
          <w:lang w:val="en-US" w:eastAsia="zh-CN"/>
        </w:rPr>
        <w:t>1</w:t>
      </w:r>
      <w:r>
        <w:rPr>
          <w:rFonts w:eastAsia="黑体"/>
          <w:sz w:val="24"/>
        </w:rPr>
        <w:t xml:space="preserve">  实</w:t>
      </w:r>
      <w:r>
        <w:rPr>
          <w:rFonts w:hint="eastAsia" w:eastAsia="黑体"/>
          <w:sz w:val="24"/>
          <w:lang w:val="en-US" w:eastAsia="zh-CN"/>
        </w:rPr>
        <w:t xml:space="preserve">  </w:t>
      </w:r>
      <w:r>
        <w:rPr>
          <w:rFonts w:eastAsia="黑体"/>
          <w:sz w:val="24"/>
        </w:rPr>
        <w:t>验</w:t>
      </w:r>
    </w:p>
    <w:p w14:paraId="36B5B0B0">
      <w:pPr>
        <w:adjustRightInd/>
        <w:snapToGrid/>
        <w:ind w:firstLine="0" w:firstLineChars="0"/>
        <w:textAlignment w:val="auto"/>
        <w:rPr>
          <w:rFonts w:eastAsia="黑体"/>
          <w:szCs w:val="21"/>
        </w:rPr>
      </w:pPr>
      <w:r>
        <w:rPr>
          <w:rFonts w:hint="eastAsia" w:eastAsia="黑体"/>
          <w:szCs w:val="21"/>
          <w:lang w:val="en-US" w:eastAsia="zh-CN"/>
        </w:rPr>
        <w:t>1</w:t>
      </w:r>
      <w:r>
        <w:rPr>
          <w:rFonts w:eastAsia="黑体"/>
          <w:szCs w:val="21"/>
        </w:rPr>
        <w:t>.1  仪器与试剂</w:t>
      </w:r>
    </w:p>
    <w:p w14:paraId="2DBBF6B2">
      <w:pPr>
        <w:ind w:firstLine="420" w:firstLineChars="200"/>
        <w:rPr>
          <w:szCs w:val="21"/>
        </w:rPr>
      </w:pPr>
      <w:r>
        <w:rPr>
          <w:szCs w:val="21"/>
        </w:rPr>
        <w:t>试验仪器主要有分液漏斗、调速搅拌器、pHSJ-4A型酸度计、分析天平、滴定管、移液管、烧杯等。所用试剂P204</w:t>
      </w:r>
      <w:r>
        <w:rPr>
          <w:rFonts w:hint="eastAsia"/>
          <w:szCs w:val="21"/>
          <w:lang w:eastAsia="zh-CN"/>
        </w:rPr>
        <w:t>，</w:t>
      </w:r>
      <w:r>
        <w:rPr>
          <w:szCs w:val="21"/>
        </w:rPr>
        <w:t>P507</w:t>
      </w:r>
      <w:r>
        <w:rPr>
          <w:rFonts w:hint="eastAsia"/>
          <w:szCs w:val="21"/>
          <w:lang w:eastAsia="zh-CN"/>
        </w:rPr>
        <w:t>，</w:t>
      </w:r>
      <w:r>
        <w:rPr>
          <w:szCs w:val="21"/>
        </w:rPr>
        <w:t>LN</w:t>
      </w:r>
      <w:r>
        <w:rPr>
          <w:rFonts w:hint="eastAsia"/>
          <w:szCs w:val="21"/>
          <w:lang w:eastAsia="zh-CN"/>
        </w:rPr>
        <w:t>，</w:t>
      </w:r>
      <w:r>
        <w:rPr>
          <w:szCs w:val="21"/>
        </w:rPr>
        <w:t>TPB和磺化煤油均为工业纯，H</w:t>
      </w:r>
      <w:r>
        <w:rPr>
          <w:szCs w:val="21"/>
          <w:vertAlign w:val="subscript"/>
        </w:rPr>
        <w:t>2</w:t>
      </w:r>
      <w:r>
        <w:rPr>
          <w:szCs w:val="21"/>
        </w:rPr>
        <w:t>SO</w:t>
      </w:r>
      <w:r>
        <w:rPr>
          <w:szCs w:val="21"/>
          <w:vertAlign w:val="subscript"/>
        </w:rPr>
        <w:t>4</w:t>
      </w:r>
      <w:r>
        <w:rPr>
          <w:szCs w:val="21"/>
        </w:rPr>
        <w:t>、中和剂均为化学纯。废水化学成分如表1所示，其中杂质离子种类多，含量也比较高。</w:t>
      </w:r>
    </w:p>
    <w:p w14:paraId="01720CB9">
      <w:pPr>
        <w:adjustRightInd w:val="0"/>
        <w:snapToGrid w:val="0"/>
        <w:jc w:val="center"/>
        <w:rPr>
          <w:rFonts w:hint="default" w:eastAsia="宋体"/>
          <w:kern w:val="0"/>
          <w:sz w:val="18"/>
          <w:szCs w:val="18"/>
          <w:lang w:val="en-US" w:eastAsia="zh-CN"/>
        </w:rPr>
      </w:pPr>
      <w:r>
        <w:rPr>
          <w:kern w:val="0"/>
          <w:sz w:val="18"/>
          <w:szCs w:val="18"/>
        </w:rPr>
        <w:t>表1</w:t>
      </w:r>
      <w:r>
        <w:rPr>
          <w:rFonts w:hint="eastAsia"/>
          <w:kern w:val="0"/>
          <w:sz w:val="18"/>
          <w:szCs w:val="18"/>
          <w:lang w:val="en-US" w:eastAsia="zh-CN"/>
        </w:rPr>
        <w:t xml:space="preserve">  </w:t>
      </w:r>
      <w:r>
        <w:rPr>
          <w:kern w:val="0"/>
          <w:sz w:val="18"/>
          <w:szCs w:val="18"/>
        </w:rPr>
        <w:t>废水中离子</w:t>
      </w:r>
      <w:r>
        <w:rPr>
          <w:rFonts w:hint="eastAsia"/>
          <w:kern w:val="0"/>
          <w:sz w:val="18"/>
          <w:szCs w:val="18"/>
          <w:lang w:val="en-US" w:eastAsia="zh-CN"/>
        </w:rPr>
        <w:t>质量浓度</w:t>
      </w:r>
    </w:p>
    <w:p w14:paraId="0DC4681F">
      <w:pPr>
        <w:adjustRightInd w:val="0"/>
        <w:snapToGrid w:val="0"/>
        <w:jc w:val="center"/>
        <w:rPr>
          <w:rFonts w:hint="default" w:eastAsia="宋体"/>
          <w:lang w:val="en-US" w:eastAsia="zh-CN"/>
        </w:rPr>
      </w:pPr>
      <w:r>
        <w:rPr>
          <w:rFonts w:hint="eastAsia"/>
          <w:kern w:val="0"/>
          <w:sz w:val="18"/>
          <w:szCs w:val="18"/>
          <w:lang w:val="en-US" w:eastAsia="zh-CN"/>
        </w:rPr>
        <w:t xml:space="preserve">Table1  </w:t>
      </w:r>
      <w:r>
        <w:rPr>
          <w:rFonts w:hint="default" w:ascii="Times New Roman" w:hAnsi="Times New Roman" w:eastAsia="Segoe UI" w:cs="Times New Roman"/>
          <w:i w:val="0"/>
          <w:caps w:val="0"/>
          <w:color w:val="2A2B2E"/>
          <w:spacing w:val="0"/>
          <w:sz w:val="18"/>
          <w:szCs w:val="18"/>
          <w:shd w:val="clear" w:fill="FFFFFF"/>
        </w:rPr>
        <w:t>The content of ions in wastewater</w:t>
      </w:r>
      <w:r>
        <w:rPr>
          <w:rFonts w:hint="eastAsia" w:cs="Times New Roman"/>
          <w:i w:val="0"/>
          <w:caps w:val="0"/>
          <w:color w:val="2A2B2E"/>
          <w:spacing w:val="0"/>
          <w:sz w:val="18"/>
          <w:szCs w:val="18"/>
          <w:shd w:val="clear" w:fill="FFFFFF"/>
          <w:lang w:val="en-US" w:eastAsia="zh-CN"/>
        </w:rPr>
        <w:t xml:space="preserve">   g/L</w:t>
      </w:r>
    </w:p>
    <w:tbl>
      <w:tblPr>
        <w:tblStyle w:val="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28" w:type="dxa"/>
          <w:bottom w:w="0" w:type="dxa"/>
          <w:right w:w="28" w:type="dxa"/>
        </w:tblCellMar>
      </w:tblPr>
      <w:tblGrid>
        <w:gridCol w:w="454"/>
        <w:gridCol w:w="624"/>
        <w:gridCol w:w="567"/>
        <w:gridCol w:w="567"/>
        <w:gridCol w:w="567"/>
        <w:gridCol w:w="567"/>
        <w:gridCol w:w="680"/>
        <w:gridCol w:w="567"/>
      </w:tblGrid>
      <w:tr w14:paraId="084A62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54" w:type="dxa"/>
            <w:tcBorders>
              <w:bottom w:val="single" w:color="auto" w:sz="4" w:space="0"/>
            </w:tcBorders>
            <w:vAlign w:val="center"/>
          </w:tcPr>
          <w:p w14:paraId="7F8F267B">
            <w:pPr>
              <w:adjustRightInd w:val="0"/>
              <w:snapToGrid w:val="0"/>
              <w:jc w:val="center"/>
              <w:rPr>
                <w:sz w:val="18"/>
                <w:szCs w:val="18"/>
              </w:rPr>
            </w:pPr>
            <w:r>
              <w:rPr>
                <w:sz w:val="18"/>
                <w:szCs w:val="18"/>
              </w:rPr>
              <w:t>离子</w:t>
            </w:r>
          </w:p>
        </w:tc>
        <w:tc>
          <w:tcPr>
            <w:tcW w:w="624" w:type="dxa"/>
            <w:tcBorders>
              <w:bottom w:val="single" w:color="auto" w:sz="4" w:space="0"/>
            </w:tcBorders>
            <w:vAlign w:val="center"/>
          </w:tcPr>
          <w:p w14:paraId="2FFDEE17">
            <w:pPr>
              <w:adjustRightInd w:val="0"/>
              <w:snapToGrid w:val="0"/>
              <w:jc w:val="center"/>
              <w:rPr>
                <w:sz w:val="18"/>
                <w:szCs w:val="18"/>
              </w:rPr>
            </w:pPr>
            <w:r>
              <w:rPr>
                <w:sz w:val="18"/>
                <w:szCs w:val="18"/>
              </w:rPr>
              <w:t>Zn</w:t>
            </w:r>
            <w:r>
              <w:rPr>
                <w:sz w:val="18"/>
                <w:szCs w:val="18"/>
                <w:vertAlign w:val="superscript"/>
              </w:rPr>
              <w:t>2+</w:t>
            </w:r>
          </w:p>
        </w:tc>
        <w:tc>
          <w:tcPr>
            <w:tcW w:w="567" w:type="dxa"/>
            <w:tcBorders>
              <w:bottom w:val="single" w:color="auto" w:sz="4" w:space="0"/>
            </w:tcBorders>
            <w:vAlign w:val="center"/>
          </w:tcPr>
          <w:p w14:paraId="1E1A615A">
            <w:pPr>
              <w:adjustRightInd w:val="0"/>
              <w:snapToGrid w:val="0"/>
              <w:jc w:val="center"/>
              <w:rPr>
                <w:sz w:val="18"/>
                <w:szCs w:val="18"/>
              </w:rPr>
            </w:pPr>
            <w:r>
              <w:rPr>
                <w:sz w:val="18"/>
                <w:szCs w:val="18"/>
              </w:rPr>
              <w:t>Cd</w:t>
            </w:r>
            <w:r>
              <w:rPr>
                <w:sz w:val="18"/>
                <w:szCs w:val="18"/>
                <w:vertAlign w:val="superscript"/>
              </w:rPr>
              <w:t>2+</w:t>
            </w:r>
          </w:p>
        </w:tc>
        <w:tc>
          <w:tcPr>
            <w:tcW w:w="567" w:type="dxa"/>
            <w:tcBorders>
              <w:bottom w:val="single" w:color="auto" w:sz="4" w:space="0"/>
            </w:tcBorders>
            <w:vAlign w:val="center"/>
          </w:tcPr>
          <w:p w14:paraId="1897C59B">
            <w:pPr>
              <w:adjustRightInd w:val="0"/>
              <w:snapToGrid w:val="0"/>
              <w:jc w:val="center"/>
              <w:rPr>
                <w:sz w:val="18"/>
                <w:szCs w:val="18"/>
              </w:rPr>
            </w:pPr>
            <w:r>
              <w:rPr>
                <w:sz w:val="18"/>
                <w:szCs w:val="18"/>
              </w:rPr>
              <w:t>Mn</w:t>
            </w:r>
            <w:r>
              <w:rPr>
                <w:sz w:val="18"/>
                <w:szCs w:val="18"/>
                <w:vertAlign w:val="superscript"/>
              </w:rPr>
              <w:t>2+</w:t>
            </w:r>
          </w:p>
        </w:tc>
        <w:tc>
          <w:tcPr>
            <w:tcW w:w="567" w:type="dxa"/>
            <w:tcBorders>
              <w:bottom w:val="single" w:color="auto" w:sz="4" w:space="0"/>
            </w:tcBorders>
            <w:vAlign w:val="center"/>
          </w:tcPr>
          <w:p w14:paraId="14F04FA5">
            <w:pPr>
              <w:adjustRightInd w:val="0"/>
              <w:snapToGrid w:val="0"/>
              <w:jc w:val="center"/>
              <w:rPr>
                <w:sz w:val="18"/>
                <w:szCs w:val="18"/>
              </w:rPr>
            </w:pPr>
            <w:r>
              <w:rPr>
                <w:sz w:val="18"/>
                <w:szCs w:val="18"/>
              </w:rPr>
              <w:t>Cu</w:t>
            </w:r>
            <w:r>
              <w:rPr>
                <w:sz w:val="18"/>
                <w:szCs w:val="18"/>
                <w:vertAlign w:val="superscript"/>
              </w:rPr>
              <w:t>2+</w:t>
            </w:r>
          </w:p>
        </w:tc>
        <w:tc>
          <w:tcPr>
            <w:tcW w:w="567" w:type="dxa"/>
            <w:tcBorders>
              <w:bottom w:val="single" w:color="auto" w:sz="4" w:space="0"/>
            </w:tcBorders>
            <w:vAlign w:val="center"/>
          </w:tcPr>
          <w:p w14:paraId="6AB974F2">
            <w:pPr>
              <w:adjustRightInd w:val="0"/>
              <w:snapToGrid w:val="0"/>
              <w:jc w:val="center"/>
              <w:rPr>
                <w:sz w:val="18"/>
                <w:szCs w:val="18"/>
              </w:rPr>
            </w:pPr>
            <w:r>
              <w:rPr>
                <w:sz w:val="18"/>
                <w:szCs w:val="18"/>
              </w:rPr>
              <w:t>Pb</w:t>
            </w:r>
            <w:r>
              <w:rPr>
                <w:sz w:val="18"/>
                <w:szCs w:val="18"/>
                <w:vertAlign w:val="superscript"/>
              </w:rPr>
              <w:t>2+</w:t>
            </w:r>
          </w:p>
        </w:tc>
        <w:tc>
          <w:tcPr>
            <w:tcW w:w="680" w:type="dxa"/>
            <w:tcBorders>
              <w:bottom w:val="single" w:color="auto" w:sz="4" w:space="0"/>
            </w:tcBorders>
            <w:vAlign w:val="center"/>
          </w:tcPr>
          <w:p w14:paraId="24EFBB39">
            <w:pPr>
              <w:adjustRightInd w:val="0"/>
              <w:snapToGrid w:val="0"/>
              <w:jc w:val="center"/>
              <w:rPr>
                <w:sz w:val="18"/>
                <w:szCs w:val="18"/>
              </w:rPr>
            </w:pPr>
            <w:r>
              <w:rPr>
                <w:sz w:val="18"/>
                <w:szCs w:val="18"/>
              </w:rPr>
              <w:t>Fe</w:t>
            </w:r>
            <w:r>
              <w:rPr>
                <w:sz w:val="18"/>
                <w:szCs w:val="18"/>
                <w:vertAlign w:val="superscript"/>
              </w:rPr>
              <w:t>2+</w:t>
            </w:r>
          </w:p>
        </w:tc>
        <w:tc>
          <w:tcPr>
            <w:tcW w:w="567" w:type="dxa"/>
            <w:tcBorders>
              <w:bottom w:val="single" w:color="auto" w:sz="4" w:space="0"/>
            </w:tcBorders>
            <w:vAlign w:val="center"/>
          </w:tcPr>
          <w:p w14:paraId="0C4C53FF">
            <w:pPr>
              <w:adjustRightInd w:val="0"/>
              <w:snapToGrid w:val="0"/>
              <w:jc w:val="center"/>
              <w:rPr>
                <w:sz w:val="18"/>
                <w:szCs w:val="18"/>
              </w:rPr>
            </w:pPr>
            <w:r>
              <w:rPr>
                <w:sz w:val="18"/>
                <w:szCs w:val="18"/>
              </w:rPr>
              <w:t>Cl</w:t>
            </w:r>
            <w:r>
              <w:rPr>
                <w:sz w:val="18"/>
                <w:szCs w:val="18"/>
                <w:vertAlign w:val="superscript"/>
              </w:rPr>
              <w:t>-</w:t>
            </w:r>
          </w:p>
        </w:tc>
      </w:tr>
      <w:tr w14:paraId="6CC1A0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28" w:type="dxa"/>
            <w:bottom w:w="0" w:type="dxa"/>
            <w:right w:w="28" w:type="dxa"/>
          </w:tblCellMar>
        </w:tblPrEx>
        <w:trPr>
          <w:trHeight w:val="227" w:hRule="atLeast"/>
        </w:trPr>
        <w:tc>
          <w:tcPr>
            <w:tcW w:w="454" w:type="dxa"/>
            <w:tcBorders>
              <w:top w:val="single" w:color="auto" w:sz="4" w:space="0"/>
              <w:tl2br w:val="nil"/>
              <w:tr2bl w:val="nil"/>
            </w:tcBorders>
            <w:vAlign w:val="center"/>
          </w:tcPr>
          <w:p w14:paraId="67206DF6">
            <w:pPr>
              <w:adjustRightInd w:val="0"/>
              <w:snapToGrid w:val="0"/>
              <w:jc w:val="center"/>
              <w:rPr>
                <w:rFonts w:hint="default" w:eastAsia="宋体"/>
                <w:sz w:val="18"/>
                <w:szCs w:val="18"/>
                <w:lang w:val="en-US" w:eastAsia="zh-CN"/>
              </w:rPr>
            </w:pPr>
            <w:r>
              <w:rPr>
                <w:rFonts w:hint="eastAsia"/>
                <w:sz w:val="18"/>
                <w:szCs w:val="18"/>
                <w:lang w:val="en-US" w:eastAsia="zh-CN"/>
              </w:rPr>
              <w:t>质量浓度</w:t>
            </w:r>
          </w:p>
        </w:tc>
        <w:tc>
          <w:tcPr>
            <w:tcW w:w="624" w:type="dxa"/>
            <w:tcBorders>
              <w:top w:val="single" w:color="auto" w:sz="4" w:space="0"/>
              <w:tl2br w:val="nil"/>
              <w:tr2bl w:val="nil"/>
            </w:tcBorders>
            <w:vAlign w:val="center"/>
          </w:tcPr>
          <w:p w14:paraId="3F2813F0">
            <w:pPr>
              <w:adjustRightInd w:val="0"/>
              <w:snapToGrid w:val="0"/>
              <w:jc w:val="center"/>
              <w:rPr>
                <w:sz w:val="18"/>
                <w:szCs w:val="18"/>
              </w:rPr>
            </w:pPr>
            <w:r>
              <w:rPr>
                <w:sz w:val="18"/>
                <w:szCs w:val="18"/>
              </w:rPr>
              <w:t>33.54</w:t>
            </w:r>
          </w:p>
        </w:tc>
        <w:tc>
          <w:tcPr>
            <w:tcW w:w="567" w:type="dxa"/>
            <w:tcBorders>
              <w:top w:val="single" w:color="auto" w:sz="4" w:space="0"/>
              <w:tl2br w:val="nil"/>
              <w:tr2bl w:val="nil"/>
            </w:tcBorders>
            <w:vAlign w:val="center"/>
          </w:tcPr>
          <w:p w14:paraId="05686EDF">
            <w:pPr>
              <w:adjustRightInd w:val="0"/>
              <w:snapToGrid w:val="0"/>
              <w:jc w:val="center"/>
              <w:rPr>
                <w:sz w:val="18"/>
                <w:szCs w:val="18"/>
              </w:rPr>
            </w:pPr>
            <w:r>
              <w:rPr>
                <w:rFonts w:hint="eastAsia"/>
                <w:sz w:val="18"/>
                <w:szCs w:val="18"/>
              </w:rPr>
              <w:t>0.</w:t>
            </w:r>
            <w:r>
              <w:rPr>
                <w:sz w:val="18"/>
                <w:szCs w:val="18"/>
              </w:rPr>
              <w:t>18</w:t>
            </w:r>
            <w:r>
              <w:rPr>
                <w:rFonts w:hint="eastAsia"/>
                <w:sz w:val="18"/>
                <w:szCs w:val="18"/>
              </w:rPr>
              <w:t>8</w:t>
            </w:r>
          </w:p>
        </w:tc>
        <w:tc>
          <w:tcPr>
            <w:tcW w:w="567" w:type="dxa"/>
            <w:tcBorders>
              <w:top w:val="single" w:color="auto" w:sz="4" w:space="0"/>
              <w:tl2br w:val="nil"/>
              <w:tr2bl w:val="nil"/>
            </w:tcBorders>
            <w:vAlign w:val="center"/>
          </w:tcPr>
          <w:p w14:paraId="61BCE45E">
            <w:pPr>
              <w:adjustRightInd w:val="0"/>
              <w:snapToGrid w:val="0"/>
              <w:jc w:val="center"/>
              <w:rPr>
                <w:sz w:val="18"/>
                <w:szCs w:val="18"/>
              </w:rPr>
            </w:pPr>
            <w:r>
              <w:rPr>
                <w:rFonts w:hint="eastAsia"/>
                <w:sz w:val="18"/>
                <w:szCs w:val="18"/>
              </w:rPr>
              <w:t>0.</w:t>
            </w:r>
            <w:r>
              <w:rPr>
                <w:sz w:val="18"/>
                <w:szCs w:val="18"/>
              </w:rPr>
              <w:t>36</w:t>
            </w:r>
            <w:r>
              <w:rPr>
                <w:rFonts w:hint="eastAsia"/>
                <w:sz w:val="18"/>
                <w:szCs w:val="18"/>
              </w:rPr>
              <w:t>1</w:t>
            </w:r>
          </w:p>
        </w:tc>
        <w:tc>
          <w:tcPr>
            <w:tcW w:w="567" w:type="dxa"/>
            <w:tcBorders>
              <w:top w:val="single" w:color="auto" w:sz="4" w:space="0"/>
              <w:tl2br w:val="nil"/>
              <w:tr2bl w:val="nil"/>
            </w:tcBorders>
            <w:vAlign w:val="center"/>
          </w:tcPr>
          <w:p w14:paraId="03BD228A">
            <w:pPr>
              <w:adjustRightInd w:val="0"/>
              <w:snapToGrid w:val="0"/>
              <w:jc w:val="center"/>
              <w:rPr>
                <w:sz w:val="18"/>
                <w:szCs w:val="18"/>
              </w:rPr>
            </w:pPr>
            <w:r>
              <w:rPr>
                <w:rFonts w:hint="eastAsia"/>
                <w:sz w:val="18"/>
                <w:szCs w:val="18"/>
              </w:rPr>
              <w:t>0.0</w:t>
            </w:r>
            <w:r>
              <w:rPr>
                <w:sz w:val="18"/>
                <w:szCs w:val="18"/>
              </w:rPr>
              <w:t>7</w:t>
            </w:r>
            <w:r>
              <w:rPr>
                <w:rFonts w:hint="eastAsia"/>
                <w:sz w:val="18"/>
                <w:szCs w:val="18"/>
              </w:rPr>
              <w:t>6</w:t>
            </w:r>
          </w:p>
        </w:tc>
        <w:tc>
          <w:tcPr>
            <w:tcW w:w="567" w:type="dxa"/>
            <w:tcBorders>
              <w:top w:val="single" w:color="auto" w:sz="4" w:space="0"/>
              <w:tl2br w:val="nil"/>
              <w:tr2bl w:val="nil"/>
            </w:tcBorders>
            <w:vAlign w:val="center"/>
          </w:tcPr>
          <w:p w14:paraId="74BAA34F">
            <w:pPr>
              <w:adjustRightInd w:val="0"/>
              <w:snapToGrid w:val="0"/>
              <w:jc w:val="center"/>
              <w:rPr>
                <w:sz w:val="18"/>
                <w:szCs w:val="18"/>
              </w:rPr>
            </w:pPr>
            <w:r>
              <w:rPr>
                <w:rFonts w:hint="eastAsia"/>
                <w:sz w:val="18"/>
                <w:szCs w:val="18"/>
              </w:rPr>
              <w:t>0.00</w:t>
            </w:r>
            <w:r>
              <w:rPr>
                <w:sz w:val="18"/>
                <w:szCs w:val="18"/>
              </w:rPr>
              <w:t>6</w:t>
            </w:r>
          </w:p>
        </w:tc>
        <w:tc>
          <w:tcPr>
            <w:tcW w:w="680" w:type="dxa"/>
            <w:tcBorders>
              <w:top w:val="single" w:color="auto" w:sz="4" w:space="0"/>
              <w:tl2br w:val="nil"/>
              <w:tr2bl w:val="nil"/>
            </w:tcBorders>
            <w:vAlign w:val="center"/>
          </w:tcPr>
          <w:p w14:paraId="678C7082">
            <w:pPr>
              <w:adjustRightInd w:val="0"/>
              <w:snapToGrid w:val="0"/>
              <w:jc w:val="center"/>
              <w:rPr>
                <w:sz w:val="18"/>
                <w:szCs w:val="18"/>
              </w:rPr>
            </w:pPr>
            <w:r>
              <w:rPr>
                <w:sz w:val="18"/>
                <w:szCs w:val="18"/>
              </w:rPr>
              <w:t>1</w:t>
            </w:r>
            <w:r>
              <w:rPr>
                <w:rFonts w:hint="eastAsia"/>
                <w:sz w:val="18"/>
                <w:szCs w:val="18"/>
              </w:rPr>
              <w:t>.</w:t>
            </w:r>
            <w:r>
              <w:rPr>
                <w:sz w:val="18"/>
                <w:szCs w:val="18"/>
              </w:rPr>
              <w:t>463</w:t>
            </w:r>
            <w:r>
              <w:rPr>
                <w:rFonts w:hint="eastAsia"/>
                <w:sz w:val="18"/>
                <w:szCs w:val="18"/>
              </w:rPr>
              <w:t>0</w:t>
            </w:r>
          </w:p>
        </w:tc>
        <w:tc>
          <w:tcPr>
            <w:tcW w:w="567" w:type="dxa"/>
            <w:tcBorders>
              <w:top w:val="single" w:color="auto" w:sz="4" w:space="0"/>
              <w:tl2br w:val="nil"/>
              <w:tr2bl w:val="nil"/>
            </w:tcBorders>
            <w:vAlign w:val="center"/>
          </w:tcPr>
          <w:p w14:paraId="3493E472">
            <w:pPr>
              <w:adjustRightInd w:val="0"/>
              <w:snapToGrid w:val="0"/>
              <w:jc w:val="center"/>
              <w:rPr>
                <w:sz w:val="18"/>
                <w:szCs w:val="18"/>
              </w:rPr>
            </w:pPr>
            <w:r>
              <w:rPr>
                <w:rFonts w:hint="eastAsia"/>
                <w:sz w:val="18"/>
                <w:szCs w:val="18"/>
              </w:rPr>
              <w:t>0.</w:t>
            </w:r>
            <w:r>
              <w:rPr>
                <w:sz w:val="18"/>
                <w:szCs w:val="18"/>
              </w:rPr>
              <w:t>22</w:t>
            </w:r>
            <w:r>
              <w:rPr>
                <w:rFonts w:hint="eastAsia"/>
                <w:sz w:val="18"/>
                <w:szCs w:val="18"/>
              </w:rPr>
              <w:t>8</w:t>
            </w:r>
          </w:p>
        </w:tc>
      </w:tr>
    </w:tbl>
    <w:p w14:paraId="6E7C165D">
      <w:pPr>
        <w:adjustRightInd w:val="0"/>
        <w:snapToGrid w:val="0"/>
        <w:spacing w:before="60"/>
        <w:rPr>
          <w:rFonts w:eastAsia="黑体"/>
          <w:szCs w:val="21"/>
        </w:rPr>
      </w:pPr>
      <w:r>
        <w:rPr>
          <w:rFonts w:hint="eastAsia" w:eastAsia="黑体"/>
          <w:szCs w:val="21"/>
          <w:lang w:val="en-US" w:eastAsia="zh-CN"/>
        </w:rPr>
        <w:t>1</w:t>
      </w:r>
      <w:r>
        <w:rPr>
          <w:rFonts w:eastAsia="黑体"/>
          <w:szCs w:val="21"/>
        </w:rPr>
        <w:t>.2  试验步骤</w:t>
      </w:r>
    </w:p>
    <w:p w14:paraId="2BD3164D">
      <w:pPr>
        <w:adjustRightInd w:val="0"/>
        <w:snapToGrid w:val="0"/>
        <w:ind w:firstLine="420" w:firstLineChars="200"/>
        <w:textAlignment w:val="baseline"/>
      </w:pPr>
      <w:r>
        <w:t xml:space="preserve">以磺化煤油作稀释剂，按一定萃取剂浓度配制有机相，然后按设定的O/A比将有机相与废水混合，以1000 </w:t>
      </w:r>
      <w:r>
        <w:rPr>
          <w:szCs w:val="21"/>
        </w:rPr>
        <w:t>r</w:t>
      </w:r>
      <w:r>
        <w:rPr>
          <w:rFonts w:hint="eastAsia"/>
          <w:szCs w:val="21"/>
        </w:rPr>
        <w:t>/</w:t>
      </w:r>
      <w:r>
        <w:rPr>
          <w:szCs w:val="21"/>
        </w:rPr>
        <w:t>mi</w:t>
      </w:r>
      <w:r>
        <w:rPr>
          <w:rFonts w:hint="eastAsia"/>
          <w:szCs w:val="21"/>
          <w:lang w:val="en-US" w:eastAsia="zh-CN"/>
        </w:rPr>
        <w:t>n</w:t>
      </w:r>
      <w:r>
        <w:rPr>
          <w:szCs w:val="21"/>
        </w:rPr>
        <w:t>的搅拌转速在25 ℃下</w:t>
      </w:r>
      <w:r>
        <w:t>恒温搅拌20 min。萃取结束后用分液漏斗将水相与有机相分离，静置分相时间为3 min。反萃试验中，用一定浓度的硫酸溶液对负载有机相进行多级错流反萃，直到水相锌离子浓度达到150 g/L以上，以满足电积锌液的浓度要求。通过测定原液、萃余液及反萃液的成分来考查萃取及杂质分离效果。</w:t>
      </w:r>
    </w:p>
    <w:p w14:paraId="784D0FA1">
      <w:pPr>
        <w:adjustRightInd w:val="0"/>
        <w:snapToGrid w:val="0"/>
        <w:ind w:firstLine="420" w:firstLineChars="200"/>
        <w:textAlignment w:val="baseline"/>
      </w:pPr>
      <w:r>
        <w:t>水相中锌含量用EDTA</w:t>
      </w:r>
      <w:r>
        <w:rPr>
          <w:rFonts w:hint="eastAsia"/>
          <w:lang w:eastAsia="zh-CN"/>
        </w:rPr>
        <w:t>滴定法</w:t>
      </w:r>
      <w:r>
        <w:t>测定，杂质含量用原子吸收法测定。</w:t>
      </w:r>
    </w:p>
    <w:p w14:paraId="2B5EC580">
      <w:pPr>
        <w:adjustRightInd w:val="0"/>
        <w:snapToGrid w:val="0"/>
        <w:spacing w:before="120"/>
        <w:rPr>
          <w:rFonts w:eastAsia="黑体"/>
          <w:sz w:val="24"/>
        </w:rPr>
      </w:pPr>
      <w:r>
        <w:rPr>
          <w:rFonts w:hint="eastAsia" w:eastAsia="黑体"/>
          <w:sz w:val="24"/>
          <w:lang w:val="en-US" w:eastAsia="zh-CN"/>
        </w:rPr>
        <w:t>2</w:t>
      </w:r>
      <w:r>
        <w:rPr>
          <w:rFonts w:eastAsia="黑体"/>
          <w:sz w:val="24"/>
        </w:rPr>
        <w:t xml:space="preserve">  结果与讨论</w:t>
      </w:r>
    </w:p>
    <w:p w14:paraId="71D1262D">
      <w:pPr>
        <w:adjustRightInd w:val="0"/>
        <w:snapToGrid w:val="0"/>
        <w:spacing w:before="60"/>
        <w:rPr>
          <w:rFonts w:eastAsia="黑体"/>
          <w:szCs w:val="21"/>
        </w:rPr>
      </w:pPr>
      <w:r>
        <w:rPr>
          <w:rFonts w:hint="eastAsia" w:eastAsia="黑体"/>
          <w:szCs w:val="21"/>
          <w:lang w:val="en-US" w:eastAsia="zh-CN"/>
        </w:rPr>
        <w:t>2</w:t>
      </w:r>
      <w:r>
        <w:rPr>
          <w:rFonts w:eastAsia="黑体"/>
          <w:szCs w:val="21"/>
        </w:rPr>
        <w:t>.1  萃取剂的选择</w:t>
      </w:r>
    </w:p>
    <w:p w14:paraId="33B151E3">
      <w:pPr>
        <w:adjustRightInd w:val="0"/>
        <w:snapToGrid w:val="0"/>
        <w:jc w:val="center"/>
      </w:pPr>
      <w:r>
        <w:object>
          <v:shape id="_x0000_i1025" o:spt="75" type="#_x0000_t75" style="height:127.15pt;width:190.55pt;" o:ole="t" filled="f" o:preferrelative="t" stroked="f" coordsize="21600,21600">
            <v:path/>
            <v:fill on="f" focussize="0,0"/>
            <v:stroke on="f"/>
            <v:imagedata r:id="rId7" cropleft="3536f" croptop="6165f" cropright="4000f" cropbottom="11205f" o:title=""/>
            <o:lock v:ext="edit" aspectratio="f"/>
            <w10:wrap type="none"/>
            <w10:anchorlock/>
          </v:shape>
          <o:OLEObject Type="Embed" ProgID="Origin50.Graph" ShapeID="_x0000_i1025" DrawAspect="Content" ObjectID="_1468075725" r:id="rId6">
            <o:LockedField>false</o:LockedField>
          </o:OLEObject>
        </w:object>
      </w:r>
    </w:p>
    <w:p w14:paraId="756FC0F8">
      <w:pPr>
        <w:adjustRightInd w:val="0"/>
        <w:snapToGrid w:val="0"/>
        <w:jc w:val="center"/>
      </w:pPr>
      <w:r>
        <w:rPr>
          <w:kern w:val="0"/>
          <w:sz w:val="18"/>
          <w:szCs w:val="18"/>
        </w:rPr>
        <w:t>初始Zn</w:t>
      </w:r>
      <w:r>
        <w:rPr>
          <w:kern w:val="0"/>
          <w:sz w:val="18"/>
          <w:szCs w:val="18"/>
          <w:vertAlign w:val="superscript"/>
        </w:rPr>
        <w:t>2+</w:t>
      </w:r>
      <w:r>
        <w:rPr>
          <w:rFonts w:hint="eastAsia"/>
          <w:kern w:val="0"/>
          <w:sz w:val="18"/>
          <w:szCs w:val="18"/>
          <w:vertAlign w:val="baseline"/>
          <w:lang w:val="en-US" w:eastAsia="zh-CN"/>
        </w:rPr>
        <w:t>质量</w:t>
      </w:r>
      <w:r>
        <w:rPr>
          <w:kern w:val="0"/>
          <w:sz w:val="18"/>
          <w:szCs w:val="18"/>
        </w:rPr>
        <w:t>浓度</w:t>
      </w:r>
      <w:r>
        <w:rPr>
          <w:rFonts w:hint="eastAsia"/>
          <w:kern w:val="0"/>
          <w:sz w:val="18"/>
          <w:szCs w:val="18"/>
          <w:lang w:val="en-US" w:eastAsia="zh-CN"/>
        </w:rPr>
        <w:t>/(g/L)</w:t>
      </w:r>
    </w:p>
    <w:p w14:paraId="028F11C2">
      <w:pPr>
        <w:adjustRightInd w:val="0"/>
        <w:snapToGrid w:val="0"/>
        <w:jc w:val="center"/>
        <w:rPr>
          <w:kern w:val="0"/>
          <w:sz w:val="18"/>
          <w:szCs w:val="18"/>
        </w:rPr>
      </w:pPr>
      <w:r>
        <w:rPr>
          <w:kern w:val="0"/>
          <w:sz w:val="18"/>
          <w:szCs w:val="18"/>
        </w:rPr>
        <w:t>图1</w:t>
      </w:r>
      <w:r>
        <w:rPr>
          <w:rFonts w:hint="eastAsia"/>
          <w:kern w:val="0"/>
          <w:sz w:val="18"/>
          <w:szCs w:val="18"/>
          <w:lang w:val="en-US" w:eastAsia="zh-CN"/>
        </w:rPr>
        <w:t xml:space="preserve">  </w:t>
      </w:r>
      <w:r>
        <w:rPr>
          <w:kern w:val="0"/>
          <w:sz w:val="18"/>
          <w:szCs w:val="18"/>
        </w:rPr>
        <w:t>初始Zn</w:t>
      </w:r>
      <w:r>
        <w:rPr>
          <w:kern w:val="0"/>
          <w:sz w:val="18"/>
          <w:szCs w:val="18"/>
          <w:vertAlign w:val="superscript"/>
        </w:rPr>
        <w:t>2+</w:t>
      </w:r>
      <w:r>
        <w:rPr>
          <w:rFonts w:hint="eastAsia"/>
          <w:kern w:val="0"/>
          <w:sz w:val="18"/>
          <w:szCs w:val="18"/>
          <w:vertAlign w:val="baseline"/>
          <w:lang w:val="en-US" w:eastAsia="zh-CN"/>
        </w:rPr>
        <w:t>质量</w:t>
      </w:r>
      <w:r>
        <w:rPr>
          <w:kern w:val="0"/>
          <w:sz w:val="18"/>
          <w:szCs w:val="18"/>
        </w:rPr>
        <w:t>浓度对萃取率的影响</w:t>
      </w:r>
    </w:p>
    <w:p w14:paraId="6101C2B0">
      <w:pPr>
        <w:adjustRightInd w:val="0"/>
        <w:snapToGrid w:val="0"/>
        <w:jc w:val="center"/>
        <w:rPr>
          <w:kern w:val="0"/>
          <w:sz w:val="18"/>
          <w:szCs w:val="18"/>
        </w:rPr>
      </w:pPr>
      <w:r>
        <w:rPr>
          <w:rFonts w:hint="eastAsia"/>
          <w:kern w:val="0"/>
          <w:sz w:val="18"/>
          <w:szCs w:val="18"/>
          <w:lang w:val="en-US" w:eastAsia="zh-CN"/>
        </w:rPr>
        <w:t xml:space="preserve">Fig.1  Effect </w:t>
      </w:r>
      <w:r>
        <w:rPr>
          <w:rFonts w:hint="eastAsia" w:ascii="Times New Roman" w:hAnsi="Times New Roman" w:eastAsia="宋体" w:cs="Times New Roman"/>
          <w:kern w:val="0"/>
          <w:sz w:val="18"/>
          <w:szCs w:val="18"/>
          <w:lang w:val="en-US" w:eastAsia="zh-CN" w:bidi="ar-SA"/>
        </w:rPr>
        <w:t xml:space="preserve">of initial </w:t>
      </w:r>
      <w:r>
        <w:rPr>
          <w:rFonts w:hint="eastAsia" w:cs="Times New Roman"/>
          <w:kern w:val="0"/>
          <w:sz w:val="18"/>
          <w:szCs w:val="18"/>
          <w:lang w:val="en-US" w:eastAsia="zh-CN" w:bidi="ar-SA"/>
        </w:rPr>
        <w:t xml:space="preserve">mass </w:t>
      </w:r>
      <w:r>
        <w:rPr>
          <w:rFonts w:hint="eastAsia" w:ascii="Times New Roman" w:hAnsi="Times New Roman" w:eastAsia="宋体" w:cs="Times New Roman"/>
          <w:kern w:val="0"/>
          <w:sz w:val="18"/>
          <w:szCs w:val="18"/>
          <w:lang w:val="en-US" w:eastAsia="zh-CN" w:bidi="ar-SA"/>
        </w:rPr>
        <w:t>concentration of Zn</w:t>
      </w:r>
      <w:r>
        <w:rPr>
          <w:rFonts w:hint="eastAsia" w:ascii="Times New Roman" w:hAnsi="Times New Roman" w:eastAsia="宋体" w:cs="Times New Roman"/>
          <w:kern w:val="0"/>
          <w:sz w:val="18"/>
          <w:szCs w:val="18"/>
          <w:vertAlign w:val="superscript"/>
          <w:lang w:val="en-US" w:eastAsia="zh-CN" w:bidi="ar-SA"/>
        </w:rPr>
        <w:t>2+</w:t>
      </w:r>
      <w:r>
        <w:rPr>
          <w:rFonts w:hint="eastAsia" w:ascii="Times New Roman" w:hAnsi="Times New Roman" w:eastAsia="宋体" w:cs="Times New Roman"/>
          <w:kern w:val="0"/>
          <w:sz w:val="18"/>
          <w:szCs w:val="18"/>
          <w:lang w:val="en-US" w:eastAsia="zh-CN" w:bidi="ar-SA"/>
        </w:rPr>
        <w:t xml:space="preserve"> on extraction rate</w:t>
      </w:r>
    </w:p>
    <w:p w14:paraId="3696F5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jc w:val="center"/>
        <w:textAlignment w:val="auto"/>
        <w:rPr>
          <w:szCs w:val="21"/>
        </w:rPr>
      </w:pPr>
      <w:r>
        <w:rPr>
          <w:kern w:val="0"/>
          <w:sz w:val="18"/>
          <w:szCs w:val="18"/>
        </w:rPr>
        <w:t>(</w:t>
      </w:r>
      <w:r>
        <w:rPr>
          <w:rFonts w:hint="eastAsia" w:ascii="Times New Roman" w:hAnsi="Times New Roman" w:eastAsia="宋体" w:cs="Times New Roman"/>
          <w:kern w:val="0"/>
          <w:sz w:val="18"/>
          <w:szCs w:val="18"/>
          <w:lang w:val="en-US" w:eastAsia="zh-CN" w:bidi="ar-SA"/>
        </w:rPr>
        <w:t>Extraction agent concentration</w:t>
      </w:r>
      <w:r>
        <w:rPr>
          <w:rFonts w:hint="eastAsia" w:cs="Times New Roman"/>
          <w:kern w:val="0"/>
          <w:sz w:val="18"/>
          <w:szCs w:val="18"/>
          <w:lang w:val="en-US" w:eastAsia="zh-CN" w:bidi="ar-SA"/>
        </w:rPr>
        <w:t xml:space="preserve"> </w:t>
      </w:r>
      <w:r>
        <w:rPr>
          <w:kern w:val="0"/>
          <w:sz w:val="18"/>
          <w:szCs w:val="18"/>
        </w:rPr>
        <w:t>20%</w:t>
      </w:r>
      <w:r>
        <w:rPr>
          <w:rFonts w:hint="eastAsia"/>
          <w:kern w:val="0"/>
          <w:sz w:val="18"/>
          <w:szCs w:val="18"/>
          <w:lang w:val="en-US" w:eastAsia="zh-CN"/>
        </w:rPr>
        <w:t xml:space="preserve">, </w:t>
      </w:r>
      <w:r>
        <w:rPr>
          <w:kern w:val="0"/>
          <w:sz w:val="18"/>
          <w:szCs w:val="18"/>
        </w:rPr>
        <w:t>O/A</w:t>
      </w:r>
      <w:r>
        <w:rPr>
          <w:rFonts w:hint="eastAsia"/>
          <w:kern w:val="0"/>
          <w:sz w:val="18"/>
          <w:szCs w:val="18"/>
          <w:lang w:val="en-US" w:eastAsia="zh-CN"/>
        </w:rPr>
        <w:t xml:space="preserve"> ratio </w:t>
      </w:r>
      <w:r>
        <w:rPr>
          <w:kern w:val="0"/>
          <w:sz w:val="18"/>
          <w:szCs w:val="18"/>
        </w:rPr>
        <w:t>1∶1</w:t>
      </w:r>
      <w:r>
        <w:rPr>
          <w:rFonts w:hint="eastAsia"/>
          <w:kern w:val="0"/>
          <w:sz w:val="18"/>
          <w:szCs w:val="18"/>
          <w:lang w:val="en-US" w:eastAsia="zh-CN"/>
        </w:rPr>
        <w:t xml:space="preserve">, </w:t>
      </w:r>
      <w:r>
        <w:rPr>
          <w:rFonts w:hint="eastAsia" w:ascii="Times New Roman" w:hAnsi="Times New Roman" w:eastAsia="宋体" w:cs="Times New Roman"/>
          <w:kern w:val="0"/>
          <w:sz w:val="18"/>
          <w:szCs w:val="18"/>
          <w:lang w:val="en-US" w:eastAsia="zh-CN" w:bidi="ar-SA"/>
        </w:rPr>
        <w:t>initial</w:t>
      </w:r>
      <w:r>
        <w:rPr>
          <w:rFonts w:hint="eastAsia" w:cs="Times New Roman"/>
          <w:kern w:val="0"/>
          <w:sz w:val="18"/>
          <w:szCs w:val="18"/>
          <w:lang w:val="en-US" w:eastAsia="zh-CN" w:bidi="ar-SA"/>
        </w:rPr>
        <w:t xml:space="preserve"> </w:t>
      </w:r>
      <w:r>
        <w:rPr>
          <w:kern w:val="0"/>
          <w:sz w:val="18"/>
          <w:szCs w:val="18"/>
        </w:rPr>
        <w:t>pH=3.0)</w:t>
      </w:r>
    </w:p>
    <w:p w14:paraId="02CFE042">
      <w:pPr>
        <w:adjustRightInd w:val="0"/>
        <w:snapToGrid w:val="0"/>
        <w:spacing w:before="60"/>
        <w:outlineLvl w:val="0"/>
        <w:rPr>
          <w:rFonts w:eastAsia="黑体"/>
          <w:szCs w:val="21"/>
        </w:rPr>
      </w:pPr>
      <w:r>
        <w:rPr>
          <w:rFonts w:hint="eastAsia" w:eastAsia="黑体"/>
          <w:szCs w:val="21"/>
          <w:lang w:val="en-US" w:eastAsia="zh-CN"/>
        </w:rPr>
        <w:t>2</w:t>
      </w:r>
      <w:r>
        <w:rPr>
          <w:rFonts w:eastAsia="黑体"/>
          <w:szCs w:val="21"/>
        </w:rPr>
        <w:t>.2  中和剂的影响</w:t>
      </w:r>
    </w:p>
    <w:p w14:paraId="14373BB7">
      <w:pPr>
        <w:adjustRightInd w:val="0"/>
        <w:snapToGrid w:val="0"/>
        <w:spacing w:before="60"/>
        <w:outlineLvl w:val="0"/>
        <w:rPr>
          <w:rFonts w:hint="eastAsia"/>
          <w:szCs w:val="21"/>
        </w:rPr>
      </w:pPr>
      <w:r>
        <w:rPr>
          <w:rFonts w:hint="eastAsia"/>
          <w:szCs w:val="21"/>
        </w:rPr>
        <w:t>……</w:t>
      </w:r>
    </w:p>
    <w:p w14:paraId="73529764">
      <w:pPr>
        <w:adjustRightInd w:val="0"/>
        <w:snapToGrid w:val="0"/>
        <w:spacing w:before="60"/>
        <w:outlineLvl w:val="0"/>
        <w:rPr>
          <w:rFonts w:eastAsia="黑体"/>
          <w:szCs w:val="21"/>
        </w:rPr>
      </w:pPr>
      <w:r>
        <w:rPr>
          <w:rFonts w:hint="eastAsia" w:eastAsia="黑体"/>
          <w:szCs w:val="21"/>
          <w:lang w:val="en-US" w:eastAsia="zh-CN"/>
        </w:rPr>
        <w:t>2</w:t>
      </w:r>
      <w:r>
        <w:rPr>
          <w:rFonts w:eastAsia="黑体"/>
          <w:szCs w:val="21"/>
        </w:rPr>
        <w:t>.3  萃取剂浓度和相比O/A的影响</w:t>
      </w:r>
    </w:p>
    <w:p w14:paraId="0D904CB4">
      <w:pPr>
        <w:adjustRightInd w:val="0"/>
        <w:snapToGrid w:val="0"/>
        <w:spacing w:before="60"/>
        <w:outlineLvl w:val="0"/>
        <w:rPr>
          <w:rFonts w:hint="eastAsia"/>
          <w:szCs w:val="21"/>
        </w:rPr>
      </w:pPr>
      <w:r>
        <w:rPr>
          <w:rFonts w:hint="eastAsia"/>
          <w:szCs w:val="21"/>
        </w:rPr>
        <w:t>……</w:t>
      </w:r>
    </w:p>
    <w:p w14:paraId="0EB670B1">
      <w:pPr>
        <w:adjustRightInd w:val="0"/>
        <w:snapToGrid w:val="0"/>
        <w:spacing w:before="60"/>
        <w:outlineLvl w:val="0"/>
        <w:rPr>
          <w:rFonts w:eastAsia="黑体"/>
          <w:szCs w:val="21"/>
        </w:rPr>
      </w:pPr>
      <w:r>
        <w:rPr>
          <w:rFonts w:hint="eastAsia" w:eastAsia="黑体"/>
          <w:szCs w:val="21"/>
          <w:lang w:val="en-US" w:eastAsia="zh-CN"/>
        </w:rPr>
        <w:t>2</w:t>
      </w:r>
      <w:r>
        <w:rPr>
          <w:rFonts w:eastAsia="黑体"/>
          <w:szCs w:val="21"/>
        </w:rPr>
        <w:t>.4  反萃试验结果</w:t>
      </w:r>
    </w:p>
    <w:p w14:paraId="629D4056">
      <w:pPr>
        <w:adjustRightInd w:val="0"/>
        <w:snapToGrid w:val="0"/>
        <w:spacing w:before="60"/>
        <w:outlineLvl w:val="0"/>
        <w:rPr>
          <w:rFonts w:eastAsia="黑体"/>
          <w:szCs w:val="21"/>
        </w:rPr>
      </w:pPr>
      <w:r>
        <w:rPr>
          <w:rFonts w:hint="eastAsia" w:eastAsia="黑体"/>
          <w:szCs w:val="21"/>
        </w:rPr>
        <w:t>……</w:t>
      </w:r>
    </w:p>
    <w:p w14:paraId="2904716D">
      <w:pPr>
        <w:adjustRightInd w:val="0"/>
        <w:snapToGrid w:val="0"/>
        <w:spacing w:before="60"/>
        <w:rPr>
          <w:rFonts w:eastAsia="黑体"/>
          <w:szCs w:val="21"/>
        </w:rPr>
      </w:pPr>
      <w:r>
        <w:rPr>
          <w:rFonts w:hint="eastAsia" w:eastAsia="黑体"/>
          <w:szCs w:val="21"/>
          <w:lang w:val="en-US" w:eastAsia="zh-CN"/>
        </w:rPr>
        <w:t>2</w:t>
      </w:r>
      <w:r>
        <w:rPr>
          <w:rFonts w:eastAsia="黑体"/>
          <w:szCs w:val="21"/>
        </w:rPr>
        <w:t>.5  杂质分离效果</w:t>
      </w:r>
    </w:p>
    <w:p w14:paraId="51D9C163">
      <w:pPr>
        <w:adjustRightInd w:val="0"/>
        <w:snapToGrid w:val="0"/>
        <w:spacing w:before="120"/>
        <w:rPr>
          <w:rFonts w:hint="eastAsia"/>
          <w:kern w:val="0"/>
          <w:sz w:val="18"/>
          <w:szCs w:val="18"/>
        </w:rPr>
      </w:pPr>
      <w:r>
        <w:rPr>
          <w:rFonts w:hint="eastAsia"/>
          <w:kern w:val="0"/>
          <w:sz w:val="18"/>
          <w:szCs w:val="18"/>
        </w:rPr>
        <w:t>……</w:t>
      </w:r>
    </w:p>
    <w:p w14:paraId="2F5C52D6">
      <w:pPr>
        <w:adjustRightInd w:val="0"/>
        <w:snapToGrid w:val="0"/>
        <w:spacing w:before="120"/>
        <w:rPr>
          <w:rFonts w:eastAsia="黑体"/>
          <w:sz w:val="24"/>
        </w:rPr>
      </w:pPr>
      <w:r>
        <w:rPr>
          <w:rFonts w:hint="eastAsia" w:eastAsia="黑体"/>
          <w:sz w:val="24"/>
          <w:lang w:val="en-US" w:eastAsia="zh-CN"/>
        </w:rPr>
        <w:t>3</w:t>
      </w:r>
      <w:r>
        <w:rPr>
          <w:rFonts w:eastAsia="黑体"/>
          <w:sz w:val="24"/>
        </w:rPr>
        <w:t xml:space="preserve">  结</w:t>
      </w:r>
      <w:r>
        <w:rPr>
          <w:rFonts w:hint="eastAsia" w:eastAsia="黑体"/>
          <w:sz w:val="24"/>
          <w:lang w:val="en-US" w:eastAsia="zh-CN"/>
        </w:rPr>
        <w:t xml:space="preserve">  </w:t>
      </w:r>
      <w:r>
        <w:rPr>
          <w:rFonts w:eastAsia="黑体"/>
          <w:sz w:val="24"/>
        </w:rPr>
        <w:t>论</w:t>
      </w:r>
    </w:p>
    <w:p w14:paraId="66688577">
      <w:pPr>
        <w:adjustRightInd w:val="0"/>
        <w:snapToGrid w:val="0"/>
        <w:ind w:firstLine="420" w:firstLineChars="200"/>
        <w:textAlignment w:val="baseline"/>
      </w:pPr>
      <w:r>
        <w:t>在适当的O/A比和萃取剂浓度条件下，用P204做萃取剂，同时添加一定量的中和剂，可以将含锌废水中的锌有效萃出，萃取率可达99.60%以上。与沉淀除杂法中不可避免的锌沉淀损失相比，大大提高了锌回收率。</w:t>
      </w:r>
    </w:p>
    <w:p w14:paraId="636B6608">
      <w:pPr>
        <w:adjustRightInd w:val="0"/>
        <w:snapToGrid w:val="0"/>
        <w:ind w:firstLine="420" w:firstLineChars="200"/>
        <w:textAlignment w:val="baseline"/>
      </w:pPr>
      <w:r>
        <w:t>用浓度达到7.6%以上的硫酸溶液对负载有机相进行反萃，通过多级错流萃取，可以获得150 g/L以上的高浓度锌液，满足了电积锌液的浓度要求。</w:t>
      </w:r>
    </w:p>
    <w:p w14:paraId="667DABA9">
      <w:pPr>
        <w:adjustRightInd w:val="0"/>
        <w:snapToGrid w:val="0"/>
        <w:ind w:firstLine="420" w:firstLineChars="200"/>
        <w:textAlignment w:val="baseline"/>
        <w:rPr>
          <w:rFonts w:eastAsia="仿宋_GB2312"/>
          <w:sz w:val="24"/>
          <w:szCs w:val="32"/>
        </w:rPr>
      </w:pPr>
      <w:r>
        <w:rPr>
          <w:szCs w:val="21"/>
        </w:rPr>
        <w:t>含锌废水中的各种杂质在萃取工艺中都能有效分离，得到了杂质浓度低的反萃液，其杂质含量符合电积锌液的要求。此外，萃取工艺还解决了沉淀除杂法脱氯难的问题。</w:t>
      </w:r>
    </w:p>
    <w:p w14:paraId="4D9FD225">
      <w:pPr>
        <w:adjustRightInd w:val="0"/>
        <w:snapToGrid w:val="0"/>
        <w:rPr>
          <w:rFonts w:eastAsia="黑体"/>
          <w:szCs w:val="21"/>
        </w:rPr>
      </w:pPr>
      <w:r>
        <w:rPr>
          <w:rFonts w:eastAsia="黑体"/>
          <w:szCs w:val="21"/>
        </w:rPr>
        <w:t>参考文献：</w:t>
      </w:r>
    </w:p>
    <w:p w14:paraId="40A4CF59">
      <w:pPr>
        <w:adjustRightInd w:val="0"/>
        <w:snapToGrid w:val="0"/>
        <w:ind w:left="420" w:hanging="420"/>
        <w:rPr>
          <w:sz w:val="18"/>
          <w:szCs w:val="18"/>
        </w:rPr>
      </w:pPr>
      <w:r>
        <w:rPr>
          <w:sz w:val="18"/>
          <w:szCs w:val="18"/>
        </w:rPr>
        <w:t xml:space="preserve">[1] 方艳, 闵小波, 唐宁, </w:t>
      </w:r>
      <w:r>
        <w:rPr>
          <w:rFonts w:hint="eastAsia"/>
          <w:sz w:val="18"/>
          <w:szCs w:val="18"/>
          <w:lang w:eastAsia="zh-CN"/>
        </w:rPr>
        <w:t>等</w:t>
      </w:r>
      <w:r>
        <w:rPr>
          <w:sz w:val="18"/>
          <w:szCs w:val="18"/>
        </w:rPr>
        <w:t>. 含锌废水处理技术的研究进展[J]. 工业安全环保, 2006, 32(7): 5</w:t>
      </w:r>
      <w:r>
        <w:rPr>
          <w:rFonts w:hint="eastAsia"/>
          <w:sz w:val="18"/>
          <w:szCs w:val="18"/>
          <w:lang w:val="en-US" w:eastAsia="zh-CN"/>
        </w:rPr>
        <w:t>-8</w:t>
      </w:r>
      <w:r>
        <w:rPr>
          <w:sz w:val="18"/>
          <w:szCs w:val="18"/>
        </w:rPr>
        <w:t>.</w:t>
      </w:r>
    </w:p>
    <w:p w14:paraId="0241F224">
      <w:pPr>
        <w:adjustRightInd w:val="0"/>
        <w:snapToGrid w:val="0"/>
        <w:ind w:left="420" w:hanging="420"/>
        <w:rPr>
          <w:sz w:val="18"/>
          <w:szCs w:val="18"/>
        </w:rPr>
      </w:pPr>
      <w:r>
        <w:rPr>
          <w:sz w:val="18"/>
          <w:szCs w:val="18"/>
        </w:rPr>
        <w:t>[2] 陈远望. 氧化锌矿溶剂萃取、电积工艺实现工业化[J]. 世界有色金属, 2003(9): 66</w:t>
      </w:r>
      <w:r>
        <w:rPr>
          <w:rFonts w:hint="eastAsia"/>
          <w:sz w:val="18"/>
          <w:szCs w:val="18"/>
          <w:lang w:val="en-US" w:eastAsia="zh-CN"/>
        </w:rPr>
        <w:t>-67</w:t>
      </w:r>
      <w:r>
        <w:rPr>
          <w:sz w:val="18"/>
          <w:szCs w:val="18"/>
        </w:rPr>
        <w:t>.</w:t>
      </w:r>
    </w:p>
    <w:p w14:paraId="1ADD6633">
      <w:pPr>
        <w:adjustRightInd w:val="0"/>
        <w:snapToGrid w:val="0"/>
        <w:ind w:left="420" w:hanging="420"/>
        <w:rPr>
          <w:sz w:val="18"/>
          <w:szCs w:val="18"/>
        </w:rPr>
      </w:pPr>
      <w:r>
        <w:rPr>
          <w:sz w:val="18"/>
          <w:szCs w:val="18"/>
        </w:rPr>
        <w:t>[3] 兰兴华. 锌溶剂萃取进展[J]. 世界有色金属, 2004(8): 28</w:t>
      </w:r>
      <w:r>
        <w:rPr>
          <w:rFonts w:hint="eastAsia"/>
          <w:sz w:val="18"/>
          <w:szCs w:val="18"/>
          <w:lang w:val="en-US" w:eastAsia="zh-CN"/>
        </w:rPr>
        <w:t>-31</w:t>
      </w:r>
      <w:r>
        <w:rPr>
          <w:sz w:val="18"/>
          <w:szCs w:val="18"/>
        </w:rPr>
        <w:t>.</w:t>
      </w:r>
    </w:p>
    <w:p w14:paraId="05D75B92">
      <w:pPr>
        <w:adjustRightInd w:val="0"/>
        <w:snapToGrid w:val="0"/>
        <w:ind w:left="420" w:hanging="420"/>
        <w:rPr>
          <w:sz w:val="18"/>
          <w:szCs w:val="18"/>
        </w:rPr>
      </w:pPr>
      <w:r>
        <w:rPr>
          <w:sz w:val="18"/>
          <w:szCs w:val="18"/>
        </w:rPr>
        <w:t xml:space="preserve">[4] 杨大锦, 谢刚, 王吉坤, </w:t>
      </w:r>
      <w:r>
        <w:rPr>
          <w:rFonts w:hint="eastAsia"/>
          <w:sz w:val="18"/>
          <w:szCs w:val="18"/>
          <w:lang w:eastAsia="zh-CN"/>
        </w:rPr>
        <w:t>等</w:t>
      </w:r>
      <w:r>
        <w:rPr>
          <w:sz w:val="18"/>
          <w:szCs w:val="18"/>
        </w:rPr>
        <w:t>. 硫酸锌溶液的萃取工艺研究[J]. 有色金属(冶炼部分), 2006(2): 9</w:t>
      </w:r>
      <w:r>
        <w:rPr>
          <w:rFonts w:hint="eastAsia"/>
          <w:sz w:val="18"/>
          <w:szCs w:val="18"/>
          <w:lang w:val="en-US" w:eastAsia="zh-CN"/>
        </w:rPr>
        <w:t>-11</w:t>
      </w:r>
      <w:r>
        <w:rPr>
          <w:sz w:val="18"/>
          <w:szCs w:val="18"/>
        </w:rPr>
        <w:t>.</w:t>
      </w:r>
    </w:p>
    <w:p w14:paraId="30954AF9">
      <w:pPr>
        <w:adjustRightInd w:val="0"/>
        <w:snapToGrid w:val="0"/>
        <w:ind w:left="420" w:hanging="420"/>
        <w:rPr>
          <w:sz w:val="18"/>
          <w:szCs w:val="18"/>
        </w:rPr>
      </w:pPr>
      <w:r>
        <w:rPr>
          <w:sz w:val="18"/>
          <w:szCs w:val="18"/>
        </w:rPr>
        <w:t>[5] 汤兵, 朱又春, 林美强. 低pH条件下自硫酸体系中萃取锌的研究[J]. 有色金属(冶炼部分), 2001(5): 2</w:t>
      </w:r>
      <w:r>
        <w:rPr>
          <w:rFonts w:hint="eastAsia"/>
          <w:sz w:val="18"/>
          <w:szCs w:val="18"/>
          <w:lang w:val="en-US" w:eastAsia="zh-CN"/>
        </w:rPr>
        <w:t>-4</w:t>
      </w:r>
      <w:r>
        <w:rPr>
          <w:sz w:val="18"/>
          <w:szCs w:val="18"/>
        </w:rPr>
        <w:t>.</w:t>
      </w:r>
    </w:p>
    <w:p w14:paraId="23476559">
      <w:pPr>
        <w:adjustRightInd w:val="0"/>
        <w:snapToGrid w:val="0"/>
        <w:ind w:left="420" w:hanging="420"/>
        <w:rPr>
          <w:sz w:val="18"/>
          <w:szCs w:val="18"/>
        </w:rPr>
      </w:pPr>
      <w:r>
        <w:rPr>
          <w:sz w:val="18"/>
          <w:szCs w:val="18"/>
        </w:rPr>
        <w:t>[6] 黄浪, 项长祥, 邹兴. 用D2EHPA从硫酸介质中萃取锌[J]. 北京科技大学学报, 2002, 24(6): 610</w:t>
      </w:r>
      <w:r>
        <w:rPr>
          <w:rFonts w:hint="eastAsia"/>
          <w:sz w:val="18"/>
          <w:szCs w:val="18"/>
          <w:lang w:val="en-US" w:eastAsia="zh-CN"/>
        </w:rPr>
        <w:t>-612</w:t>
      </w:r>
      <w:r>
        <w:rPr>
          <w:sz w:val="18"/>
          <w:szCs w:val="18"/>
        </w:rPr>
        <w:t>.</w:t>
      </w:r>
    </w:p>
    <w:p w14:paraId="55D3F42E">
      <w:pPr>
        <w:adjustRightInd w:val="0"/>
        <w:snapToGrid w:val="0"/>
        <w:ind w:left="420" w:hanging="420"/>
        <w:rPr>
          <w:sz w:val="18"/>
          <w:szCs w:val="18"/>
        </w:rPr>
      </w:pPr>
      <w:r>
        <w:rPr>
          <w:sz w:val="18"/>
          <w:szCs w:val="18"/>
        </w:rPr>
        <w:t>[7] S</w:t>
      </w:r>
      <w:r>
        <w:rPr>
          <w:rFonts w:hint="eastAsia"/>
          <w:sz w:val="18"/>
          <w:szCs w:val="18"/>
          <w:lang w:val="en-US" w:eastAsia="zh-CN"/>
        </w:rPr>
        <w:t>ainz-Diaz</w:t>
      </w:r>
      <w:r>
        <w:rPr>
          <w:sz w:val="18"/>
          <w:szCs w:val="18"/>
        </w:rPr>
        <w:t xml:space="preserve"> C I, K</w:t>
      </w:r>
      <w:r>
        <w:rPr>
          <w:rFonts w:hint="eastAsia"/>
          <w:sz w:val="18"/>
          <w:szCs w:val="18"/>
          <w:lang w:val="en-US" w:eastAsia="zh-CN"/>
        </w:rPr>
        <w:t>locker</w:t>
      </w:r>
      <w:r>
        <w:rPr>
          <w:sz w:val="18"/>
          <w:szCs w:val="18"/>
        </w:rPr>
        <w:t xml:space="preserve"> H, M</w:t>
      </w:r>
      <w:r>
        <w:rPr>
          <w:rFonts w:hint="eastAsia"/>
          <w:sz w:val="18"/>
          <w:szCs w:val="18"/>
          <w:lang w:val="en-US" w:eastAsia="zh-CN"/>
        </w:rPr>
        <w:t>arr</w:t>
      </w:r>
      <w:r>
        <w:rPr>
          <w:sz w:val="18"/>
          <w:szCs w:val="18"/>
        </w:rPr>
        <w:t xml:space="preserve"> R, </w:t>
      </w:r>
      <w:r>
        <w:rPr>
          <w:rFonts w:hint="eastAsia"/>
          <w:sz w:val="18"/>
          <w:szCs w:val="18"/>
          <w:lang w:val="en-US" w:eastAsia="zh-CN"/>
        </w:rPr>
        <w:t>et al</w:t>
      </w:r>
      <w:r>
        <w:rPr>
          <w:sz w:val="18"/>
          <w:szCs w:val="18"/>
        </w:rPr>
        <w:t>. New approach in the modelling of the extraction equilibrium of zinc with bis-(2-ethylhexyl) phosphoric acid [J]. Hydrometallurgy, 1996, 42(1):1</w:t>
      </w:r>
      <w:r>
        <w:rPr>
          <w:rFonts w:hint="eastAsia"/>
          <w:sz w:val="18"/>
          <w:szCs w:val="18"/>
          <w:lang w:val="en-US" w:eastAsia="zh-CN"/>
        </w:rPr>
        <w:t>-11</w:t>
      </w:r>
      <w:r>
        <w:rPr>
          <w:sz w:val="18"/>
          <w:szCs w:val="18"/>
        </w:rPr>
        <w:t>.</w:t>
      </w:r>
    </w:p>
    <w:p w14:paraId="3BFAB2C6">
      <w:pPr>
        <w:rPr>
          <w:rFonts w:hint="eastAsia"/>
        </w:rPr>
        <w:sectPr>
          <w:type w:val="continuous"/>
          <w:pgSz w:w="11906" w:h="16838"/>
          <w:pgMar w:top="1270" w:right="1140" w:bottom="1270" w:left="1140" w:header="850" w:footer="454" w:gutter="0"/>
          <w:pgBorders>
            <w:top w:val="none" w:sz="0" w:space="0"/>
            <w:left w:val="none" w:sz="0" w:space="0"/>
            <w:bottom w:val="none" w:sz="0" w:space="0"/>
            <w:right w:val="none" w:sz="0" w:space="0"/>
          </w:pgBorders>
          <w:cols w:space="425" w:num="2"/>
          <w:titlePg/>
          <w:docGrid w:type="lines" w:linePitch="312" w:charSpace="0"/>
        </w:sectPr>
      </w:pPr>
      <w:r>
        <w:rPr>
          <w:rFonts w:hint="eastAsia"/>
        </w:rPr>
        <w:t>……</w:t>
      </w:r>
    </w:p>
    <w:p w14:paraId="440DF1A1">
      <w:pPr>
        <w:adjustRightInd w:val="0"/>
        <w:snapToGrid w:val="0"/>
        <w:jc w:val="center"/>
        <w:textAlignment w:val="baseline"/>
        <w:outlineLvl w:val="0"/>
        <w:rPr>
          <w:bCs/>
          <w:kern w:val="0"/>
          <w:sz w:val="28"/>
          <w:szCs w:val="20"/>
        </w:rPr>
      </w:pPr>
    </w:p>
    <w:p w14:paraId="4868EEA1">
      <w:pPr>
        <w:adjustRightInd w:val="0"/>
        <w:snapToGrid w:val="0"/>
        <w:jc w:val="center"/>
        <w:textAlignment w:val="baseline"/>
        <w:outlineLvl w:val="0"/>
        <w:rPr>
          <w:kern w:val="0"/>
          <w:sz w:val="28"/>
          <w:szCs w:val="20"/>
        </w:rPr>
      </w:pPr>
      <w:r>
        <w:rPr>
          <w:bCs/>
          <w:kern w:val="0"/>
          <w:sz w:val="28"/>
          <w:szCs w:val="20"/>
        </w:rPr>
        <w:t>Zinc</w:t>
      </w:r>
      <w:r>
        <w:rPr>
          <w:kern w:val="0"/>
          <w:sz w:val="28"/>
          <w:szCs w:val="20"/>
        </w:rPr>
        <w:t xml:space="preserve"> </w:t>
      </w:r>
      <w:r>
        <w:rPr>
          <w:bCs/>
          <w:kern w:val="0"/>
          <w:sz w:val="28"/>
          <w:szCs w:val="20"/>
        </w:rPr>
        <w:t>Recovery f</w:t>
      </w:r>
      <w:r>
        <w:rPr>
          <w:kern w:val="0"/>
          <w:sz w:val="28"/>
          <w:szCs w:val="20"/>
        </w:rPr>
        <w:t xml:space="preserve">rom </w:t>
      </w:r>
      <w:r>
        <w:rPr>
          <w:bCs/>
          <w:kern w:val="0"/>
          <w:sz w:val="28"/>
          <w:szCs w:val="20"/>
        </w:rPr>
        <w:t>Zn-</w:t>
      </w:r>
      <w:r>
        <w:rPr>
          <w:rFonts w:hint="eastAsia"/>
          <w:bCs/>
          <w:kern w:val="0"/>
          <w:sz w:val="28"/>
          <w:szCs w:val="20"/>
          <w:lang w:val="en-US" w:eastAsia="zh-CN"/>
        </w:rPr>
        <w:t>B</w:t>
      </w:r>
      <w:r>
        <w:rPr>
          <w:bCs/>
          <w:kern w:val="0"/>
          <w:sz w:val="28"/>
          <w:szCs w:val="20"/>
        </w:rPr>
        <w:t xml:space="preserve">earing Waste Streams </w:t>
      </w:r>
      <w:r>
        <w:rPr>
          <w:kern w:val="0"/>
          <w:sz w:val="28"/>
          <w:szCs w:val="20"/>
        </w:rPr>
        <w:t>by Solvent Extraction</w:t>
      </w:r>
    </w:p>
    <w:p w14:paraId="59FD5CBA">
      <w:pPr>
        <w:adjustRightInd w:val="0"/>
        <w:snapToGrid w:val="0"/>
        <w:spacing w:before="120"/>
        <w:jc w:val="center"/>
        <w:textAlignment w:val="baseline"/>
        <w:rPr>
          <w:rFonts w:eastAsia="楷体_GB2312"/>
          <w:iCs/>
          <w:kern w:val="0"/>
          <w:szCs w:val="21"/>
        </w:rPr>
      </w:pPr>
      <w:r>
        <w:rPr>
          <w:rFonts w:eastAsia="楷体_GB2312"/>
          <w:iCs/>
          <w:kern w:val="0"/>
          <w:szCs w:val="21"/>
        </w:rPr>
        <w:t>Y</w:t>
      </w:r>
      <w:r>
        <w:rPr>
          <w:rFonts w:hint="eastAsia" w:eastAsia="楷体_GB2312"/>
          <w:iCs/>
          <w:kern w:val="0"/>
          <w:szCs w:val="21"/>
          <w:lang w:val="en-US" w:eastAsia="zh-CN"/>
        </w:rPr>
        <w:t>ang</w:t>
      </w:r>
      <w:r>
        <w:rPr>
          <w:rFonts w:eastAsia="楷体_GB2312"/>
          <w:iCs/>
          <w:kern w:val="0"/>
          <w:szCs w:val="21"/>
        </w:rPr>
        <w:t xml:space="preserve"> Yongtao</w:t>
      </w:r>
      <w:r>
        <w:rPr>
          <w:rFonts w:eastAsia="楷体_GB2312"/>
          <w:iCs/>
          <w:kern w:val="0"/>
          <w:szCs w:val="21"/>
          <w:vertAlign w:val="superscript"/>
        </w:rPr>
        <w:t>1</w:t>
      </w:r>
      <w:r>
        <w:rPr>
          <w:rFonts w:eastAsia="楷体_GB2312"/>
          <w:iCs/>
          <w:kern w:val="0"/>
          <w:szCs w:val="21"/>
        </w:rPr>
        <w:t>, T</w:t>
      </w:r>
      <w:r>
        <w:rPr>
          <w:rFonts w:hint="eastAsia" w:eastAsia="楷体_GB2312"/>
          <w:iCs/>
          <w:kern w:val="0"/>
          <w:szCs w:val="21"/>
          <w:lang w:val="en-US" w:eastAsia="zh-CN"/>
        </w:rPr>
        <w:t>ang</w:t>
      </w:r>
      <w:r>
        <w:rPr>
          <w:rFonts w:eastAsia="楷体_GB2312"/>
          <w:iCs/>
          <w:kern w:val="0"/>
          <w:szCs w:val="21"/>
        </w:rPr>
        <w:t xml:space="preserve"> Qian</w:t>
      </w:r>
      <w:r>
        <w:rPr>
          <w:rFonts w:eastAsia="楷体_GB2312"/>
          <w:iCs/>
          <w:kern w:val="0"/>
          <w:szCs w:val="21"/>
          <w:vertAlign w:val="superscript"/>
        </w:rPr>
        <w:t>1,2</w:t>
      </w:r>
      <w:r>
        <w:rPr>
          <w:rFonts w:eastAsia="楷体_GB2312"/>
          <w:iCs/>
          <w:kern w:val="0"/>
          <w:szCs w:val="21"/>
        </w:rPr>
        <w:t>, L</w:t>
      </w:r>
      <w:r>
        <w:rPr>
          <w:rFonts w:hint="eastAsia" w:eastAsia="楷体_GB2312"/>
          <w:iCs/>
          <w:kern w:val="0"/>
          <w:szCs w:val="21"/>
          <w:lang w:val="en-US" w:eastAsia="zh-CN"/>
        </w:rPr>
        <w:t>i</w:t>
      </w:r>
      <w:r>
        <w:rPr>
          <w:rFonts w:eastAsia="楷体_GB2312"/>
          <w:iCs/>
          <w:kern w:val="0"/>
          <w:szCs w:val="21"/>
        </w:rPr>
        <w:t xml:space="preserve"> Juan</w:t>
      </w:r>
      <w:r>
        <w:rPr>
          <w:rFonts w:eastAsia="楷体_GB2312"/>
          <w:iCs/>
          <w:kern w:val="0"/>
          <w:szCs w:val="21"/>
          <w:vertAlign w:val="superscript"/>
        </w:rPr>
        <w:t>1</w:t>
      </w:r>
      <w:r>
        <w:rPr>
          <w:rFonts w:eastAsia="楷体_GB2312"/>
          <w:iCs/>
          <w:kern w:val="0"/>
          <w:szCs w:val="21"/>
        </w:rPr>
        <w:t>, J</w:t>
      </w:r>
      <w:r>
        <w:rPr>
          <w:rFonts w:hint="eastAsia" w:eastAsia="楷体_GB2312"/>
          <w:iCs/>
          <w:kern w:val="0"/>
          <w:szCs w:val="21"/>
          <w:lang w:val="en-US" w:eastAsia="zh-CN"/>
        </w:rPr>
        <w:t>iang</w:t>
      </w:r>
      <w:bookmarkStart w:id="0" w:name="_GoBack"/>
      <w:bookmarkEnd w:id="0"/>
      <w:r>
        <w:rPr>
          <w:rFonts w:eastAsia="楷体_GB2312"/>
          <w:iCs/>
          <w:kern w:val="0"/>
          <w:szCs w:val="21"/>
        </w:rPr>
        <w:t xml:space="preserve"> Bin</w:t>
      </w:r>
      <w:r>
        <w:rPr>
          <w:rFonts w:eastAsia="楷体_GB2312"/>
          <w:iCs/>
          <w:kern w:val="0"/>
          <w:szCs w:val="21"/>
          <w:vertAlign w:val="superscript"/>
        </w:rPr>
        <w:t>1</w:t>
      </w:r>
    </w:p>
    <w:p w14:paraId="3975B4B8">
      <w:pPr>
        <w:adjustRightInd w:val="0"/>
        <w:snapToGrid w:val="0"/>
        <w:spacing w:after="120"/>
        <w:jc w:val="center"/>
        <w:textAlignment w:val="baseline"/>
        <w:rPr>
          <w:rFonts w:eastAsia="楷体_GB2312"/>
          <w:iCs/>
          <w:kern w:val="0"/>
          <w:sz w:val="21"/>
          <w:szCs w:val="21"/>
        </w:rPr>
      </w:pPr>
      <w:r>
        <w:rPr>
          <w:rFonts w:eastAsia="楷体_GB2312"/>
          <w:iCs/>
          <w:kern w:val="0"/>
          <w:sz w:val="21"/>
          <w:szCs w:val="21"/>
        </w:rPr>
        <w:t>(</w:t>
      </w:r>
      <w:r>
        <w:rPr>
          <w:rFonts w:eastAsia="楷体_GB2312"/>
          <w:i/>
          <w:iCs w:val="0"/>
          <w:kern w:val="0"/>
          <w:sz w:val="21"/>
          <w:szCs w:val="21"/>
        </w:rPr>
        <w:t>1.School of Mineral Processing and Bio-engineering, University of Science and Technology Beijing, Beijing 100083, China; 2.</w:t>
      </w:r>
      <w:r>
        <w:rPr>
          <w:i/>
          <w:iCs w:val="0"/>
          <w:color w:val="000000"/>
          <w:sz w:val="21"/>
          <w:szCs w:val="21"/>
        </w:rPr>
        <w:t>Kaiyuan Science and Technology Company Limited, Anshan Iron and Steel Corporation, Anshan 430070, China</w:t>
      </w:r>
      <w:r>
        <w:rPr>
          <w:rFonts w:eastAsia="楷体_GB2312"/>
          <w:iCs/>
          <w:kern w:val="0"/>
          <w:sz w:val="21"/>
          <w:szCs w:val="21"/>
        </w:rPr>
        <w:t>)</w:t>
      </w:r>
    </w:p>
    <w:p w14:paraId="4244B508">
      <w:pPr>
        <w:adjustRightInd w:val="0"/>
        <w:snapToGrid w:val="0"/>
        <w:spacing w:line="280" w:lineRule="exact"/>
        <w:ind w:firstLine="0" w:firstLineChars="0"/>
        <w:rPr>
          <w:sz w:val="18"/>
          <w:szCs w:val="21"/>
        </w:rPr>
      </w:pPr>
      <w:r>
        <w:rPr>
          <w:b/>
          <w:sz w:val="18"/>
          <w:szCs w:val="18"/>
        </w:rPr>
        <w:t>Abstract</w:t>
      </w:r>
      <w:r>
        <w:rPr>
          <w:b/>
          <w:bCs/>
          <w:snapToGrid w:val="0"/>
          <w:sz w:val="18"/>
          <w:szCs w:val="18"/>
        </w:rPr>
        <w:t>:</w:t>
      </w:r>
      <w:r>
        <w:rPr>
          <w:bCs/>
          <w:snapToGrid w:val="0"/>
          <w:sz w:val="18"/>
          <w:szCs w:val="18"/>
        </w:rPr>
        <w:t xml:space="preserve"> </w:t>
      </w:r>
      <w:r>
        <w:rPr>
          <w:sz w:val="18"/>
          <w:szCs w:val="21"/>
        </w:rPr>
        <w:t>The technical process for recovery of zinc from high-concentration zinc-bearing waste streams with a variety of impurities by solvent extraction is investigated. The results show that the extraction rate of zinc is</w:t>
      </w:r>
      <w:r>
        <w:rPr>
          <w:color w:val="FF0000"/>
          <w:sz w:val="18"/>
          <w:szCs w:val="21"/>
        </w:rPr>
        <w:t xml:space="preserve"> </w:t>
      </w:r>
      <w:r>
        <w:rPr>
          <w:sz w:val="18"/>
          <w:szCs w:val="21"/>
        </w:rPr>
        <w:t>over 99%, and most of the impurities are in the aqueous solutions by using P204 as extractant with the assistant of a neutralizer when the O/A ratio and the P204 concentration are adjusted properly. The zinc solution with zinc concentrations over 150 g/L and low impurities concentrations is obtained after muti-staged strips by using 7.6% sulfuric acid solution. Consequently, zinc concentration is markedly increased and impurities are effectively removed, and the solution is favorably consonant with the requirements of zinc electrowinning.</w:t>
      </w:r>
    </w:p>
    <w:p w14:paraId="65C0245E">
      <w:pPr>
        <w:adjustRightInd w:val="0"/>
        <w:snapToGrid w:val="0"/>
        <w:spacing w:line="280" w:lineRule="exact"/>
        <w:ind w:left="0" w:firstLine="0"/>
        <w:rPr>
          <w:sz w:val="18"/>
          <w:szCs w:val="18"/>
        </w:rPr>
      </w:pPr>
      <w:r>
        <w:rPr>
          <w:b/>
          <w:bCs/>
          <w:snapToGrid w:val="0"/>
          <w:sz w:val="18"/>
          <w:szCs w:val="18"/>
        </w:rPr>
        <w:t>Key</w:t>
      </w:r>
      <w:r>
        <w:rPr>
          <w:rFonts w:hint="eastAsia"/>
          <w:b/>
          <w:bCs/>
          <w:snapToGrid w:val="0"/>
          <w:sz w:val="18"/>
          <w:szCs w:val="18"/>
          <w:lang w:val="en-US" w:eastAsia="zh-CN"/>
        </w:rPr>
        <w:t xml:space="preserve"> </w:t>
      </w:r>
      <w:r>
        <w:rPr>
          <w:b/>
          <w:bCs/>
          <w:snapToGrid w:val="0"/>
          <w:sz w:val="18"/>
          <w:szCs w:val="18"/>
        </w:rPr>
        <w:t>words:</w:t>
      </w:r>
      <w:r>
        <w:rPr>
          <w:bCs/>
          <w:snapToGrid w:val="0"/>
          <w:sz w:val="18"/>
          <w:szCs w:val="18"/>
        </w:rPr>
        <w:t xml:space="preserve"> </w:t>
      </w:r>
      <w:r>
        <w:rPr>
          <w:sz w:val="18"/>
          <w:szCs w:val="18"/>
        </w:rPr>
        <w:t>metallurgical technology</w:t>
      </w:r>
      <w:r>
        <w:rPr>
          <w:sz w:val="18"/>
          <w:szCs w:val="21"/>
        </w:rPr>
        <w:t>; zinc</w:t>
      </w:r>
      <w:r>
        <w:rPr>
          <w:sz w:val="18"/>
          <w:szCs w:val="18"/>
        </w:rPr>
        <w:t>;</w:t>
      </w:r>
      <w:r>
        <w:rPr>
          <w:rFonts w:eastAsia="AdobeSongStd-Light"/>
          <w:kern w:val="0"/>
          <w:sz w:val="18"/>
          <w:szCs w:val="18"/>
        </w:rPr>
        <w:t xml:space="preserve"> </w:t>
      </w:r>
      <w:r>
        <w:rPr>
          <w:sz w:val="18"/>
          <w:szCs w:val="21"/>
        </w:rPr>
        <w:t>solvent extraction; P204; neutralizer; strip</w:t>
      </w:r>
    </w:p>
    <w:p w14:paraId="1F31A6D0">
      <w:pPr>
        <w:rPr>
          <w:rFonts w:hint="default" w:eastAsia="宋体"/>
          <w:lang w:val="en-US" w:eastAsia="zh-CN"/>
        </w:rPr>
      </w:pPr>
      <w:r>
        <w:rPr>
          <w:rFonts w:hint="eastAsia"/>
          <w:lang w:val="en-US" w:eastAsia="zh-CN"/>
        </w:rPr>
        <w:t>doi:</w:t>
      </w:r>
    </w:p>
    <w:sectPr>
      <w:type w:val="continuous"/>
      <w:pgSz w:w="11906" w:h="16838"/>
      <w:pgMar w:top="1440" w:right="1080" w:bottom="1440" w:left="1080" w:header="850" w:footer="454"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AdobeSongStd-Light">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11EEB">
    <w:pPr>
      <w:pStyle w:val="3"/>
      <w:tabs>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6469">
    <w:pPr>
      <w:pStyle w:val="3"/>
      <w:rPr>
        <w:rFonts w:ascii="黑体" w:eastAsia="黑体"/>
        <w:b/>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95885</wp:posOffset>
              </wp:positionV>
              <wp:extent cx="1714500" cy="0"/>
              <wp:effectExtent l="0" t="0" r="0" b="0"/>
              <wp:wrapSquare wrapText="bothSides"/>
              <wp:docPr id="2" name="直接连接符 2"/>
              <wp:cNvGraphicFramePr/>
              <a:graphic xmlns:a="http://schemas.openxmlformats.org/drawingml/2006/main">
                <a:graphicData uri="http://schemas.microsoft.com/office/word/2010/wordprocessingShape">
                  <wps:wsp>
                    <wps:cNvCnPr/>
                    <wps:spPr>
                      <a:xfrm>
                        <a:off x="0" y="0"/>
                        <a:ext cx="17145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55pt;height:0pt;width:135pt;mso-wrap-distance-bottom:0pt;mso-wrap-distance-left:9pt;mso-wrap-distance-right:9pt;mso-wrap-distance-top:0pt;z-index:251659264;mso-width-relative:page;mso-height-relative:page;" filled="f" stroked="t" coordsize="21600,21600" o:gfxdata="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o6GRLQAAAA&#10;BgEAAA8AAAAAAAAAAQAgAAAAIgAAAGRycy9kb3ducmV2LnhtbFBLAQIUABQAAAAIAIdO4kA4MmUE&#10;7AEAANgDAAAOAAAAAAAAAAEAIAAAAB8BAABkcnMvZTJvRG9jLnhtbFBLBQYAAAAABgAGAFkBAAB9&#10;BQAAAAA=&#10;">
              <v:fill on="f" focussize="0,0"/>
              <v:stroke weight="0.5pt" color="#000000" joinstyle="round"/>
              <v:imagedata o:title=""/>
              <o:lock v:ext="edit" aspectratio="f"/>
              <w10:wrap type="square"/>
            </v:line>
          </w:pict>
        </mc:Fallback>
      </mc:AlternateContent>
    </w:r>
  </w:p>
  <w:p w14:paraId="370AD38A">
    <w:pPr>
      <w:pStyle w:val="5"/>
      <w:adjustRightInd w:val="0"/>
      <w:jc w:val="both"/>
      <w:rPr>
        <w:rFonts w:hint="default" w:ascii="Times New Roman" w:hAnsi="Times New Roman" w:eastAsia="黑体" w:cs="Times New Roman"/>
        <w:lang w:val="en-US" w:eastAsia="zh-CN"/>
      </w:rPr>
    </w:pPr>
    <w:r>
      <w:rPr>
        <w:rFonts w:hint="default" w:ascii="Times New Roman" w:hAnsi="Times New Roman" w:eastAsia="黑体" w:cs="Times New Roman"/>
      </w:rPr>
      <w:t>收稿日期：2011-02-16</w:t>
    </w:r>
    <w:r>
      <w:rPr>
        <w:rFonts w:hint="eastAsia" w:eastAsia="黑体" w:cs="Times New Roman"/>
        <w:lang w:eastAsia="zh-CN"/>
      </w:rPr>
      <w:t>；修订日期：</w:t>
    </w:r>
    <w:r>
      <w:rPr>
        <w:rFonts w:hint="eastAsia" w:eastAsia="黑体" w:cs="Times New Roman"/>
        <w:lang w:val="en-US" w:eastAsia="zh-CN"/>
      </w:rPr>
      <w:t>2011-05-23</w:t>
    </w:r>
  </w:p>
  <w:p w14:paraId="08B0E7AF">
    <w:pPr>
      <w:pStyle w:val="5"/>
      <w:adjustRightInd w:val="0"/>
      <w:ind w:left="902" w:hanging="902"/>
      <w:rPr>
        <w:rFonts w:hint="default" w:ascii="Times New Roman" w:hAnsi="Times New Roman" w:cs="Times New Roman"/>
      </w:rPr>
    </w:pPr>
    <w:r>
      <w:rPr>
        <w:rFonts w:hint="default" w:ascii="Times New Roman" w:hAnsi="Times New Roman" w:eastAsia="黑体" w:cs="Times New Roman"/>
      </w:rPr>
      <w:t>基金项目：</w:t>
    </w:r>
    <w:r>
      <w:rPr>
        <w:rFonts w:hint="default" w:ascii="Times New Roman" w:hAnsi="Times New Roman" w:cs="Times New Roman"/>
        <w:color w:val="000000"/>
      </w:rPr>
      <w:t>国家自然科学基金</w:t>
    </w:r>
    <w:r>
      <w:rPr>
        <w:rFonts w:hint="default" w:ascii="Times New Roman" w:hAnsi="Times New Roman" w:cs="Times New Roman"/>
      </w:rPr>
      <w:t>项目</w:t>
    </w:r>
    <w:r>
      <w:rPr>
        <w:rFonts w:hint="default" w:ascii="Times New Roman" w:hAnsi="Times New Roman" w:cs="Times New Roman"/>
        <w:color w:val="000000"/>
      </w:rPr>
      <w:t>(50736527)</w:t>
    </w:r>
    <w:r>
      <w:rPr>
        <w:rFonts w:hint="default" w:ascii="Times New Roman" w:hAnsi="Times New Roman" w:cs="Times New Roman"/>
      </w:rPr>
      <w:t>资助</w:t>
    </w:r>
  </w:p>
  <w:p w14:paraId="7FD37FC3">
    <w:pPr>
      <w:pStyle w:val="3"/>
      <w:tabs>
        <w:tab w:val="clear" w:pos="4153"/>
      </w:tabs>
      <w:rPr>
        <w:rFonts w:hint="default" w:ascii="Times New Roman" w:hAnsi="Times New Roman" w:eastAsia="宋体" w:cs="Times New Roman"/>
        <w:b w:val="0"/>
        <w:bCs w:val="0"/>
        <w:lang w:val="en-US" w:eastAsia="zh-CN"/>
      </w:rPr>
    </w:pPr>
    <w:r>
      <w:rPr>
        <w:rFonts w:hint="default" w:ascii="Times New Roman" w:hAnsi="Times New Roman" w:eastAsia="黑体" w:cs="Times New Roman"/>
      </w:rPr>
      <w:t>作者简介：</w:t>
    </w:r>
    <w:r>
      <w:rPr>
        <w:rFonts w:hint="default" w:ascii="Times New Roman" w:hAnsi="Times New Roman" w:cs="Times New Roman"/>
        <w:color w:val="000000"/>
      </w:rPr>
      <w:t>杨永涛</w:t>
    </w:r>
    <w:r>
      <w:rPr>
        <w:rFonts w:hint="default" w:ascii="Times New Roman" w:hAnsi="Times New Roman" w:cs="Times New Roman"/>
      </w:rPr>
      <w:t>(1979</w:t>
    </w:r>
    <w:r>
      <w:rPr>
        <w:rFonts w:hint="eastAsia" w:ascii="宋体" w:hAnsi="宋体" w:eastAsia="宋体" w:cs="宋体"/>
      </w:rPr>
      <w:t>―</w:t>
    </w:r>
    <w:r>
      <w:rPr>
        <w:rFonts w:hint="default" w:ascii="Times New Roman" w:hAnsi="Times New Roman" w:cs="Times New Roman"/>
      </w:rPr>
      <w:t>)，男，江西东安县人，博士，教授，</w:t>
    </w:r>
    <w:r>
      <w:rPr>
        <w:rFonts w:hint="eastAsia" w:cs="Times New Roman"/>
        <w:lang w:eastAsia="zh-CN"/>
      </w:rPr>
      <w:t>研究方向：</w:t>
    </w:r>
    <w:r>
      <w:rPr>
        <w:rFonts w:hint="default" w:ascii="Times New Roman" w:hAnsi="Times New Roman" w:cs="Times New Roman"/>
        <w:color w:val="000000"/>
      </w:rPr>
      <w:t>矿物加工及资源综合利用</w:t>
    </w:r>
    <w:r>
      <w:rPr>
        <w:rFonts w:hint="eastAsia" w:cs="Times New Roman"/>
        <w:lang w:eastAsia="zh-CN"/>
      </w:rPr>
      <w:t>，</w:t>
    </w:r>
    <w:r>
      <w:rPr>
        <w:rFonts w:hint="default" w:ascii="Times New Roman" w:hAnsi="Times New Roman" w:cs="Times New Roman"/>
      </w:rPr>
      <w:t>E-mail: aabbcc@163.com</w:t>
    </w:r>
    <w:r>
      <w:rPr>
        <w:rFonts w:hint="eastAsia" w:cs="Times New Roman"/>
        <w:lang w:val="en-US" w:eastAsia="zh-CN"/>
      </w:rPr>
      <w:t>;</w:t>
    </w:r>
    <w:r>
      <w:rPr>
        <w:rFonts w:hint="eastAsia" w:cs="Times New Roman"/>
        <w:b w:val="0"/>
        <w:bCs w:val="0"/>
        <w:lang w:eastAsia="zh-CN"/>
      </w:rPr>
      <w:t>通信作者：</w:t>
    </w:r>
    <w:r>
      <w:rPr>
        <w:rFonts w:hint="eastAsia" w:cs="Times New Roman"/>
        <w:b w:val="0"/>
        <w:bCs w:val="0"/>
        <w:color w:val="FF0000"/>
        <w:lang w:eastAsia="zh-CN"/>
      </w:rPr>
      <w:t>姓名，职称，</w:t>
    </w:r>
    <w:r>
      <w:rPr>
        <w:rFonts w:hint="eastAsia" w:cs="Times New Roman"/>
        <w:b w:val="0"/>
        <w:bCs w:val="0"/>
        <w:color w:val="FF0000"/>
        <w:lang w:val="en-US" w:eastAsia="zh-CN"/>
      </w:rPr>
      <w:t>E-mail:</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3YmNiOGVmNmRiZGRmNzZmMjg3M2QzODM2M2FlOTEifQ=="/>
    <w:docVar w:name="KSO_WPS_MARK_KEY" w:val="4fef1932-0cb2-4406-a853-b13867d0acfc"/>
  </w:docVars>
  <w:rsids>
    <w:rsidRoot w:val="006223D6"/>
    <w:rsid w:val="00365392"/>
    <w:rsid w:val="003D0073"/>
    <w:rsid w:val="00613E8F"/>
    <w:rsid w:val="006223D6"/>
    <w:rsid w:val="006F2B92"/>
    <w:rsid w:val="024C6116"/>
    <w:rsid w:val="02DF4F2A"/>
    <w:rsid w:val="043F42ED"/>
    <w:rsid w:val="05293B83"/>
    <w:rsid w:val="05CB64C6"/>
    <w:rsid w:val="062A3C7B"/>
    <w:rsid w:val="07607D91"/>
    <w:rsid w:val="07CC027A"/>
    <w:rsid w:val="09907BA7"/>
    <w:rsid w:val="0A081053"/>
    <w:rsid w:val="0A741DE5"/>
    <w:rsid w:val="0C487A8C"/>
    <w:rsid w:val="0C566AD6"/>
    <w:rsid w:val="0DF564DA"/>
    <w:rsid w:val="107C6A6C"/>
    <w:rsid w:val="10835C2A"/>
    <w:rsid w:val="12DA36F9"/>
    <w:rsid w:val="130C209B"/>
    <w:rsid w:val="15D62A35"/>
    <w:rsid w:val="16525691"/>
    <w:rsid w:val="16820A09"/>
    <w:rsid w:val="181825DC"/>
    <w:rsid w:val="18331EE4"/>
    <w:rsid w:val="18826EA4"/>
    <w:rsid w:val="199A7FCD"/>
    <w:rsid w:val="19D83220"/>
    <w:rsid w:val="1C936755"/>
    <w:rsid w:val="1CE610AF"/>
    <w:rsid w:val="1D1855AB"/>
    <w:rsid w:val="1E113B83"/>
    <w:rsid w:val="2005729C"/>
    <w:rsid w:val="200A483B"/>
    <w:rsid w:val="204E6540"/>
    <w:rsid w:val="20BA6262"/>
    <w:rsid w:val="221C5C74"/>
    <w:rsid w:val="23F86FF5"/>
    <w:rsid w:val="24F32043"/>
    <w:rsid w:val="256765D2"/>
    <w:rsid w:val="27CD7B8F"/>
    <w:rsid w:val="281F06B8"/>
    <w:rsid w:val="28CB1B9F"/>
    <w:rsid w:val="29FF243D"/>
    <w:rsid w:val="2A4E3BC1"/>
    <w:rsid w:val="2AAB2C02"/>
    <w:rsid w:val="2BF26790"/>
    <w:rsid w:val="2D55551B"/>
    <w:rsid w:val="3048704F"/>
    <w:rsid w:val="31C62AB7"/>
    <w:rsid w:val="35C647EF"/>
    <w:rsid w:val="35C82354"/>
    <w:rsid w:val="37CA51D9"/>
    <w:rsid w:val="396832EE"/>
    <w:rsid w:val="3BE26D0B"/>
    <w:rsid w:val="3C1C51A8"/>
    <w:rsid w:val="3C28093A"/>
    <w:rsid w:val="3DAD746C"/>
    <w:rsid w:val="3EB63C04"/>
    <w:rsid w:val="423A4ECF"/>
    <w:rsid w:val="423E231A"/>
    <w:rsid w:val="431A78E9"/>
    <w:rsid w:val="44640645"/>
    <w:rsid w:val="45771070"/>
    <w:rsid w:val="46193F74"/>
    <w:rsid w:val="46473192"/>
    <w:rsid w:val="49187AF0"/>
    <w:rsid w:val="4A8D78AC"/>
    <w:rsid w:val="4C1B7248"/>
    <w:rsid w:val="4C26620E"/>
    <w:rsid w:val="4CCA4D3A"/>
    <w:rsid w:val="4DCD1D26"/>
    <w:rsid w:val="4E5E69A6"/>
    <w:rsid w:val="4F7951CE"/>
    <w:rsid w:val="4FC959C7"/>
    <w:rsid w:val="4FCA2CD1"/>
    <w:rsid w:val="50B36EBA"/>
    <w:rsid w:val="50FC33CC"/>
    <w:rsid w:val="513F795E"/>
    <w:rsid w:val="526E4A23"/>
    <w:rsid w:val="542C0712"/>
    <w:rsid w:val="563456A5"/>
    <w:rsid w:val="58503333"/>
    <w:rsid w:val="593C6643"/>
    <w:rsid w:val="59AF2E3F"/>
    <w:rsid w:val="5D1D5CF5"/>
    <w:rsid w:val="5DD82DC8"/>
    <w:rsid w:val="5E126587"/>
    <w:rsid w:val="5E5776CD"/>
    <w:rsid w:val="5F060C09"/>
    <w:rsid w:val="5FAD0F05"/>
    <w:rsid w:val="61DF0918"/>
    <w:rsid w:val="63312626"/>
    <w:rsid w:val="634A1B53"/>
    <w:rsid w:val="63E2597C"/>
    <w:rsid w:val="64BD335B"/>
    <w:rsid w:val="64CE472D"/>
    <w:rsid w:val="658B6D67"/>
    <w:rsid w:val="66C35B12"/>
    <w:rsid w:val="66D71464"/>
    <w:rsid w:val="6BE1050F"/>
    <w:rsid w:val="6C5422D6"/>
    <w:rsid w:val="6CC85F87"/>
    <w:rsid w:val="6E434A20"/>
    <w:rsid w:val="6FA873CB"/>
    <w:rsid w:val="6FDA2BA3"/>
    <w:rsid w:val="73187F28"/>
    <w:rsid w:val="73AA65C5"/>
    <w:rsid w:val="74220495"/>
    <w:rsid w:val="75432CCF"/>
    <w:rsid w:val="761F1F7C"/>
    <w:rsid w:val="78713799"/>
    <w:rsid w:val="79AF6CA7"/>
    <w:rsid w:val="7ACA2413"/>
    <w:rsid w:val="7ADF1B10"/>
    <w:rsid w:val="7BF15820"/>
    <w:rsid w:val="7C26501D"/>
    <w:rsid w:val="7C784D95"/>
    <w:rsid w:val="7CFF6313"/>
    <w:rsid w:val="7D5B21D7"/>
    <w:rsid w:val="7DBF46EC"/>
    <w:rsid w:val="7EA463A1"/>
    <w:rsid w:val="7FFF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semiHidden/>
    <w:qFormat/>
    <w:uiPriority w:val="0"/>
    <w:pPr>
      <w:snapToGrid w:val="0"/>
      <w:jc w:val="left"/>
    </w:pPr>
    <w:rPr>
      <w:sz w:val="18"/>
      <w:szCs w:val="18"/>
    </w:rPr>
  </w:style>
  <w:style w:type="paragraph" w:styleId="6">
    <w:name w:val="Normal (Web)"/>
    <w:basedOn w:val="1"/>
    <w:qFormat/>
    <w:uiPriority w:val="0"/>
    <w:rPr>
      <w:sz w:val="24"/>
    </w:rPr>
  </w:style>
  <w:style w:type="character" w:customStyle="1" w:styleId="9">
    <w:name w:val="批注框文本 字符"/>
    <w:basedOn w:val="8"/>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1880</Words>
  <Characters>3376</Characters>
  <Lines>53</Lines>
  <Paragraphs>14</Paragraphs>
  <TotalTime>16</TotalTime>
  <ScaleCrop>false</ScaleCrop>
  <LinksUpToDate>false</LinksUpToDate>
  <CharactersWithSpaces>3699</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2022-11-22T02:42:00Z</dcterms:created>
  <dc:creator>tsh</dc:creator>
  <cp:lastModifiedBy>未定义</cp:lastModifiedBy>
  <dcterms:modified xsi:type="dcterms:W3CDTF">2026-07-10T02:34:17Z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1794DC4CEAF145DBB28B702E2DB31485</vt:lpwstr>
  </property>
</Properties>
</file>